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16" w:rsidRPr="003C66FD" w:rsidRDefault="00C16616" w:rsidP="00C16616">
      <w:pPr>
        <w:jc w:val="both"/>
        <w:rPr>
          <w:rFonts w:ascii="Arial" w:hAnsi="Arial" w:cs="Arial"/>
          <w:b/>
        </w:rPr>
      </w:pPr>
      <w:r w:rsidRPr="008C5F5E">
        <w:rPr>
          <w:rFonts w:ascii="Arial" w:hAnsi="Arial" w:cs="Arial"/>
          <w:b/>
        </w:rPr>
        <w:t xml:space="preserve">                                                   </w:t>
      </w:r>
      <w:r>
        <w:rPr>
          <w:rFonts w:ascii="Arial" w:hAnsi="Arial" w:cs="Arial"/>
          <w:b/>
        </w:rPr>
        <w:t>LEI Nº 2001</w:t>
      </w:r>
      <w:r w:rsidRPr="003C66FD">
        <w:rPr>
          <w:rFonts w:ascii="Arial" w:hAnsi="Arial" w:cs="Arial"/>
          <w:b/>
        </w:rPr>
        <w:t>/2024</w:t>
      </w:r>
    </w:p>
    <w:p w:rsidR="00C16616" w:rsidRDefault="00C16616" w:rsidP="00C16616">
      <w:pPr>
        <w:pStyle w:val="NormalWeb"/>
        <w:tabs>
          <w:tab w:val="left" w:pos="-5387"/>
        </w:tabs>
        <w:spacing w:before="0" w:beforeAutospacing="0" w:after="0" w:afterAutospacing="0"/>
        <w:jc w:val="both"/>
        <w:rPr>
          <w:rFonts w:ascii="Arial" w:hAnsi="Arial" w:cs="Arial"/>
          <w:b/>
          <w:color w:val="FF0000"/>
        </w:rPr>
      </w:pPr>
    </w:p>
    <w:p w:rsidR="00C16616" w:rsidRDefault="00C16616" w:rsidP="00C16616">
      <w:pPr>
        <w:pStyle w:val="NormalWeb"/>
        <w:tabs>
          <w:tab w:val="left" w:pos="-5387"/>
        </w:tabs>
        <w:spacing w:before="0" w:beforeAutospacing="0" w:after="0" w:afterAutospacing="0"/>
        <w:jc w:val="both"/>
        <w:rPr>
          <w:rFonts w:ascii="Arial" w:hAnsi="Arial" w:cs="Arial"/>
          <w:b/>
          <w:color w:val="FF0000"/>
        </w:rPr>
      </w:pPr>
    </w:p>
    <w:p w:rsidR="00C16616" w:rsidRDefault="00C16616" w:rsidP="00C16616">
      <w:pPr>
        <w:pStyle w:val="NormalWeb"/>
        <w:tabs>
          <w:tab w:val="left" w:pos="-5387"/>
        </w:tabs>
        <w:spacing w:before="0" w:beforeAutospacing="0" w:after="0" w:afterAutospacing="0"/>
        <w:jc w:val="both"/>
        <w:rPr>
          <w:rFonts w:ascii="Arial" w:hAnsi="Arial" w:cs="Arial"/>
          <w:b/>
          <w:color w:val="FF0000"/>
        </w:rPr>
      </w:pPr>
    </w:p>
    <w:p w:rsidR="00C16616" w:rsidRDefault="00C16616" w:rsidP="00C16616">
      <w:pPr>
        <w:pStyle w:val="NormalWeb"/>
        <w:tabs>
          <w:tab w:val="left" w:pos="-5387"/>
        </w:tabs>
        <w:spacing w:before="0" w:beforeAutospacing="0" w:after="0" w:afterAutospacing="0"/>
        <w:jc w:val="both"/>
        <w:rPr>
          <w:rFonts w:ascii="Arial" w:hAnsi="Arial" w:cs="Arial"/>
          <w:b/>
          <w:color w:val="FF0000"/>
        </w:rPr>
      </w:pPr>
    </w:p>
    <w:p w:rsidR="00C16616" w:rsidRPr="002544DE" w:rsidRDefault="00C16616" w:rsidP="00C16616">
      <w:pPr>
        <w:jc w:val="both"/>
        <w:outlineLvl w:val="0"/>
        <w:rPr>
          <w:rFonts w:ascii="Arial" w:hAnsi="Arial" w:cs="Arial"/>
          <w:b/>
          <w:bCs/>
          <w:color w:val="000000" w:themeColor="text1"/>
        </w:rPr>
      </w:pPr>
      <w:r w:rsidRPr="002544DE">
        <w:rPr>
          <w:rFonts w:ascii="Arial" w:hAnsi="Arial" w:cs="Arial"/>
          <w:b/>
          <w:bCs/>
          <w:color w:val="000000" w:themeColor="text1"/>
        </w:rPr>
        <w:t>DISPÕE SOBRE AS DIRETRIZES PARA ELABORAÇÃO DA LEI ORÇAMENTÁRIA DO MUNICÍPIO DE PORECATU PARA O EXERCÍCIO DE 2025 E DÁ OUTRAS PROVIDENCIAS</w:t>
      </w:r>
      <w:r w:rsidRPr="002544DE">
        <w:rPr>
          <w:rFonts w:ascii="Arial" w:hAnsi="Arial" w:cs="Arial"/>
          <w:b/>
          <w:bCs/>
          <w:i/>
          <w:color w:val="000000" w:themeColor="text1"/>
        </w:rPr>
        <w:t>.</w:t>
      </w:r>
    </w:p>
    <w:p w:rsidR="00C16616" w:rsidRPr="002544DE" w:rsidRDefault="00C16616" w:rsidP="00C16616">
      <w:pPr>
        <w:jc w:val="both"/>
        <w:outlineLvl w:val="0"/>
        <w:rPr>
          <w:rFonts w:ascii="Arial" w:hAnsi="Arial" w:cs="Arial"/>
          <w:b/>
          <w:bCs/>
          <w:kern w:val="36"/>
          <w:sz w:val="12"/>
          <w:szCs w:val="12"/>
        </w:rPr>
      </w:pPr>
    </w:p>
    <w:p w:rsidR="00C16616" w:rsidRPr="00265DB0" w:rsidRDefault="00C16616" w:rsidP="00C16616">
      <w:pPr>
        <w:pStyle w:val="NormalWeb"/>
        <w:tabs>
          <w:tab w:val="left" w:pos="-5387"/>
        </w:tabs>
        <w:spacing w:before="0" w:beforeAutospacing="0" w:after="0" w:afterAutospacing="0"/>
        <w:ind w:left="4253" w:hanging="7"/>
        <w:jc w:val="both"/>
        <w:rPr>
          <w:rFonts w:ascii="Tahoma" w:hAnsi="Tahoma" w:cs="Tahoma"/>
          <w:i/>
          <w:caps/>
          <w:lang w:val="pt-PT"/>
        </w:rPr>
      </w:pPr>
    </w:p>
    <w:p w:rsidR="00C16616" w:rsidRPr="003C66FD" w:rsidRDefault="00C16616" w:rsidP="00C16616">
      <w:pPr>
        <w:jc w:val="both"/>
        <w:rPr>
          <w:rFonts w:ascii="Arial" w:hAnsi="Arial" w:cs="Arial"/>
          <w:b/>
          <w:color w:val="FF0000"/>
        </w:rPr>
      </w:pPr>
    </w:p>
    <w:p w:rsidR="00C16616" w:rsidRPr="003C66FD" w:rsidRDefault="00C16616" w:rsidP="00C16616">
      <w:pPr>
        <w:jc w:val="both"/>
        <w:rPr>
          <w:rFonts w:ascii="Arial" w:hAnsi="Arial" w:cs="Arial"/>
          <w:b/>
        </w:rPr>
      </w:pPr>
    </w:p>
    <w:p w:rsidR="00C16616" w:rsidRPr="003C66FD" w:rsidRDefault="00C16616" w:rsidP="00C16616">
      <w:pPr>
        <w:jc w:val="both"/>
        <w:rPr>
          <w:rFonts w:ascii="Arial" w:hAnsi="Arial" w:cs="Arial"/>
        </w:rPr>
      </w:pPr>
      <w:r w:rsidRPr="003C66FD">
        <w:rPr>
          <w:rFonts w:ascii="Arial" w:hAnsi="Arial" w:cs="Arial"/>
        </w:rPr>
        <w:t>O Prefeito do Município de Porecatu, Estado do Paraná, no uso das atribuições que lhe são conferidas por lei,</w:t>
      </w:r>
    </w:p>
    <w:p w:rsidR="00C16616" w:rsidRPr="003C66FD" w:rsidRDefault="00C16616" w:rsidP="00C16616">
      <w:pPr>
        <w:ind w:left="5664" w:firstLine="708"/>
        <w:jc w:val="both"/>
        <w:rPr>
          <w:rFonts w:ascii="Arial" w:hAnsi="Arial" w:cs="Arial"/>
          <w:b/>
        </w:rPr>
      </w:pPr>
    </w:p>
    <w:p w:rsidR="00C16616" w:rsidRPr="003C66FD" w:rsidRDefault="00C16616" w:rsidP="00C16616">
      <w:pPr>
        <w:ind w:left="5664" w:firstLine="708"/>
        <w:jc w:val="both"/>
        <w:rPr>
          <w:rFonts w:ascii="Arial" w:hAnsi="Arial" w:cs="Arial"/>
          <w:b/>
        </w:rPr>
      </w:pPr>
    </w:p>
    <w:p w:rsidR="00C16616" w:rsidRPr="003C66FD" w:rsidRDefault="00C16616" w:rsidP="00C16616">
      <w:pPr>
        <w:jc w:val="both"/>
        <w:rPr>
          <w:rFonts w:ascii="Arial" w:hAnsi="Arial" w:cs="Arial"/>
          <w:b/>
        </w:rPr>
      </w:pPr>
      <w:r w:rsidRPr="003C66FD">
        <w:rPr>
          <w:rFonts w:ascii="Arial" w:hAnsi="Arial" w:cs="Arial"/>
          <w:b/>
        </w:rPr>
        <w:t xml:space="preserve">                                                                                                   F A Z   S A B E R: </w:t>
      </w:r>
    </w:p>
    <w:p w:rsidR="00C16616" w:rsidRPr="003C66FD" w:rsidRDefault="00C16616" w:rsidP="00C16616">
      <w:pPr>
        <w:ind w:left="5664" w:firstLine="708"/>
        <w:jc w:val="both"/>
        <w:rPr>
          <w:rFonts w:ascii="Arial" w:hAnsi="Arial" w:cs="Arial"/>
          <w:b/>
        </w:rPr>
      </w:pPr>
    </w:p>
    <w:p w:rsidR="00C16616" w:rsidRPr="003C66FD" w:rsidRDefault="00C16616" w:rsidP="00C16616">
      <w:pPr>
        <w:ind w:left="5664" w:firstLine="708"/>
        <w:jc w:val="both"/>
        <w:rPr>
          <w:rFonts w:ascii="Arial" w:hAnsi="Arial" w:cs="Arial"/>
          <w:b/>
        </w:rPr>
      </w:pPr>
    </w:p>
    <w:p w:rsidR="00C16616" w:rsidRPr="003C66FD" w:rsidRDefault="00C16616" w:rsidP="00C16616">
      <w:pPr>
        <w:jc w:val="both"/>
        <w:rPr>
          <w:rFonts w:ascii="Arial" w:hAnsi="Arial" w:cs="Arial"/>
        </w:rPr>
      </w:pPr>
      <w:r w:rsidRPr="003C66FD">
        <w:rPr>
          <w:rFonts w:ascii="Arial" w:hAnsi="Arial" w:cs="Arial"/>
        </w:rPr>
        <w:t>QUE A CÂMARA MUNICIPAL DE PORECATU, ESTADO DO PARA</w:t>
      </w:r>
      <w:r>
        <w:rPr>
          <w:rFonts w:ascii="Arial" w:hAnsi="Arial" w:cs="Arial"/>
        </w:rPr>
        <w:t>NÁ, EM SUA 23ª SESSÃO ORDINÁRIA DO DIA 08 DE JULHO</w:t>
      </w:r>
      <w:r w:rsidRPr="003C66FD">
        <w:rPr>
          <w:rFonts w:ascii="Arial" w:hAnsi="Arial" w:cs="Arial"/>
        </w:rPr>
        <w:t xml:space="preserve"> DE 2024 </w:t>
      </w:r>
      <w:r w:rsidRPr="003C66FD">
        <w:rPr>
          <w:rFonts w:ascii="Arial" w:hAnsi="Arial" w:cs="Arial"/>
          <w:b/>
        </w:rPr>
        <w:t>APROVOU</w:t>
      </w:r>
      <w:r w:rsidRPr="003C66FD">
        <w:rPr>
          <w:rFonts w:ascii="Arial" w:hAnsi="Arial" w:cs="Arial"/>
        </w:rPr>
        <w:t xml:space="preserve"> E ELE </w:t>
      </w:r>
      <w:r w:rsidRPr="003C66FD">
        <w:rPr>
          <w:rFonts w:ascii="Arial" w:hAnsi="Arial" w:cs="Arial"/>
          <w:b/>
        </w:rPr>
        <w:t>SANCIONA</w:t>
      </w:r>
      <w:r w:rsidRPr="003C66FD">
        <w:rPr>
          <w:rFonts w:ascii="Arial" w:hAnsi="Arial" w:cs="Arial"/>
        </w:rPr>
        <w:t xml:space="preserve"> A SEGUINTE LEI: </w:t>
      </w:r>
    </w:p>
    <w:p w:rsidR="00C16616" w:rsidRDefault="00C16616" w:rsidP="00C16616">
      <w:pPr>
        <w:jc w:val="both"/>
        <w:rPr>
          <w:rFonts w:ascii="Arial" w:hAnsi="Arial" w:cs="Arial"/>
        </w:rPr>
      </w:pPr>
      <w:r w:rsidRPr="003C66FD">
        <w:rPr>
          <w:rFonts w:ascii="Arial" w:hAnsi="Arial" w:cs="Arial"/>
        </w:rPr>
        <w:t xml:space="preserve"> </w:t>
      </w:r>
    </w:p>
    <w:p w:rsidR="00C16616" w:rsidRDefault="00C16616" w:rsidP="00C16616">
      <w:pPr>
        <w:pStyle w:val="NormalWeb"/>
        <w:spacing w:before="0" w:beforeAutospacing="0" w:after="0" w:afterAutospacing="0"/>
        <w:jc w:val="both"/>
        <w:rPr>
          <w:rFonts w:ascii="Arial" w:hAnsi="Arial" w:cs="Arial"/>
          <w:b/>
        </w:rPr>
      </w:pPr>
    </w:p>
    <w:p w:rsidR="00C16616" w:rsidRDefault="00C16616" w:rsidP="00C16616">
      <w:pPr>
        <w:pStyle w:val="NormalWeb"/>
        <w:spacing w:before="0" w:beforeAutospacing="0" w:after="0" w:afterAutospacing="0"/>
        <w:jc w:val="both"/>
        <w:rPr>
          <w:rFonts w:ascii="Arial" w:hAnsi="Arial" w:cs="Arial"/>
          <w:b/>
        </w:rPr>
      </w:pPr>
    </w:p>
    <w:p w:rsidR="00C16616" w:rsidRPr="00112E2B" w:rsidRDefault="00C16616" w:rsidP="00C16616">
      <w:pPr>
        <w:widowControl w:val="0"/>
        <w:tabs>
          <w:tab w:val="left" w:pos="1418"/>
          <w:tab w:val="left" w:pos="2268"/>
        </w:tabs>
        <w:jc w:val="both"/>
        <w:rPr>
          <w:rFonts w:ascii="Arial" w:hAnsi="Arial" w:cs="Arial"/>
          <w:snapToGrid w:val="0"/>
        </w:rPr>
      </w:pPr>
      <w:r w:rsidRPr="00112E2B">
        <w:rPr>
          <w:rFonts w:ascii="Arial" w:hAnsi="Arial" w:cs="Arial"/>
          <w:b/>
          <w:snapToGrid w:val="0"/>
        </w:rPr>
        <w:t xml:space="preserve">Artigo 1º - </w:t>
      </w:r>
      <w:r w:rsidRPr="00112E2B">
        <w:rPr>
          <w:rFonts w:ascii="Arial" w:hAnsi="Arial" w:cs="Arial"/>
          <w:snapToGrid w:val="0"/>
        </w:rPr>
        <w:t>Ficam estabelecidas, em cumprimento ao disposto no § 2º, inciso II, do Artigo 165, da Constituição Federal, no Artigo 4º, da Lei Complementar nº 101, e no Artigo 91, da Lei Orgânica do Município de Porecatu, as diretrizes orçamentárias do Município, relativas ao exercício financeiro de 2025, compreendendo:</w:t>
      </w:r>
    </w:p>
    <w:p w:rsidR="00C16616" w:rsidRPr="00112E2B" w:rsidRDefault="00C16616" w:rsidP="00C16616">
      <w:pPr>
        <w:widowControl w:val="0"/>
        <w:tabs>
          <w:tab w:val="left" w:pos="1418"/>
          <w:tab w:val="left" w:pos="2268"/>
        </w:tabs>
        <w:jc w:val="both"/>
        <w:rPr>
          <w:rFonts w:ascii="Arial" w:hAnsi="Arial" w:cs="Arial"/>
          <w:snapToGrid w:val="0"/>
        </w:rPr>
      </w:pP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112E2B">
        <w:rPr>
          <w:rFonts w:ascii="Arial" w:hAnsi="Arial" w:cs="Arial"/>
          <w:b/>
          <w:snapToGrid w:val="0"/>
        </w:rPr>
        <w:t>I</w:t>
      </w:r>
      <w:r w:rsidRPr="00112E2B">
        <w:rPr>
          <w:rFonts w:ascii="Arial" w:hAnsi="Arial" w:cs="Arial"/>
          <w:snapToGrid w:val="0"/>
        </w:rPr>
        <w:t xml:space="preserve"> - as metas e prioridades da Administração Pública Municipal;</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112E2B">
        <w:rPr>
          <w:rFonts w:ascii="Arial" w:hAnsi="Arial" w:cs="Arial"/>
          <w:b/>
          <w:snapToGrid w:val="0"/>
        </w:rPr>
        <w:t xml:space="preserve">II </w:t>
      </w:r>
      <w:r w:rsidRPr="00112E2B">
        <w:rPr>
          <w:rFonts w:ascii="Arial" w:hAnsi="Arial" w:cs="Arial"/>
          <w:snapToGrid w:val="0"/>
        </w:rPr>
        <w:t>- a organização e a estrutura dos orçamentos;</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as diretrizes específicas para o Poder Legislativo;</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IV</w:t>
      </w:r>
      <w:r w:rsidRPr="00112E2B">
        <w:rPr>
          <w:rFonts w:ascii="Arial" w:hAnsi="Arial" w:cs="Arial"/>
          <w:snapToGrid w:val="0"/>
        </w:rPr>
        <w:t xml:space="preserve"> - as diretrizes gerais para a elaboração e a execução dos orçamentos do Município e suas alterações;</w:t>
      </w:r>
    </w:p>
    <w:p w:rsidR="00C16616" w:rsidRPr="00112E2B" w:rsidRDefault="00C16616" w:rsidP="00C16616">
      <w:pPr>
        <w:pStyle w:val="Corpodetexto3"/>
        <w:widowControl w:val="0"/>
        <w:spacing w:after="0"/>
        <w:rPr>
          <w:rFonts w:ascii="Arial" w:hAnsi="Arial" w:cs="Arial"/>
          <w:snapToGrid w:val="0"/>
          <w:sz w:val="24"/>
          <w:szCs w:val="24"/>
        </w:rPr>
      </w:pPr>
      <w:r w:rsidRPr="00112E2B">
        <w:rPr>
          <w:rFonts w:ascii="Arial" w:hAnsi="Arial" w:cs="Arial"/>
          <w:b/>
          <w:snapToGrid w:val="0"/>
          <w:sz w:val="24"/>
          <w:szCs w:val="24"/>
        </w:rPr>
        <w:t>V</w:t>
      </w:r>
      <w:r w:rsidRPr="00112E2B">
        <w:rPr>
          <w:rFonts w:ascii="Arial" w:hAnsi="Arial" w:cs="Arial"/>
          <w:snapToGrid w:val="0"/>
          <w:sz w:val="24"/>
          <w:szCs w:val="24"/>
        </w:rPr>
        <w:t xml:space="preserve"> - as disposições relativas às despesas do Município com pessoal e encargos sociais;</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VI</w:t>
      </w:r>
      <w:r w:rsidRPr="00112E2B">
        <w:rPr>
          <w:rFonts w:ascii="Arial" w:hAnsi="Arial" w:cs="Arial"/>
          <w:snapToGrid w:val="0"/>
        </w:rPr>
        <w:t xml:space="preserve"> - as disposições sobre a Legislação Tributária do Município;</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VII</w:t>
      </w:r>
      <w:r w:rsidRPr="00112E2B">
        <w:rPr>
          <w:rFonts w:ascii="Arial" w:hAnsi="Arial" w:cs="Arial"/>
          <w:snapToGrid w:val="0"/>
        </w:rPr>
        <w:t xml:space="preserve"> - as disposições relativas à Dívida Pública Municipal; e</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VIII</w:t>
      </w:r>
      <w:r w:rsidRPr="00112E2B">
        <w:rPr>
          <w:rFonts w:ascii="Arial" w:hAnsi="Arial" w:cs="Arial"/>
          <w:snapToGrid w:val="0"/>
        </w:rPr>
        <w:t xml:space="preserve"> - as disposições finais.</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Parágrafo único - </w:t>
      </w:r>
      <w:r w:rsidRPr="00112E2B">
        <w:rPr>
          <w:rFonts w:ascii="Arial" w:hAnsi="Arial" w:cs="Arial"/>
          <w:snapToGrid w:val="0"/>
        </w:rPr>
        <w:t>Integram esta Lei os seguintes anexos:</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112E2B">
        <w:rPr>
          <w:rFonts w:ascii="Arial" w:hAnsi="Arial" w:cs="Arial"/>
          <w:b/>
        </w:rPr>
        <w:t>I</w:t>
      </w:r>
      <w:r w:rsidRPr="00112E2B">
        <w:rPr>
          <w:rFonts w:ascii="Arial" w:hAnsi="Arial" w:cs="Arial"/>
        </w:rPr>
        <w:t xml:space="preserve"> – Estrutura Orçamentária;</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112E2B">
        <w:rPr>
          <w:rFonts w:ascii="Arial" w:hAnsi="Arial" w:cs="Arial"/>
          <w:b/>
        </w:rPr>
        <w:t>II</w:t>
      </w:r>
      <w:r w:rsidRPr="00112E2B">
        <w:rPr>
          <w:rFonts w:ascii="Arial" w:hAnsi="Arial" w:cs="Arial"/>
        </w:rPr>
        <w:t xml:space="preserve"> – Metas e Prioridades;</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112E2B">
        <w:rPr>
          <w:rFonts w:ascii="Arial" w:hAnsi="Arial" w:cs="Arial"/>
          <w:b/>
        </w:rPr>
        <w:t>III</w:t>
      </w:r>
      <w:r w:rsidRPr="00112E2B">
        <w:rPr>
          <w:rFonts w:ascii="Arial" w:hAnsi="Arial" w:cs="Arial"/>
        </w:rPr>
        <w:t xml:space="preserve"> – Metas Fiscais;</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112E2B">
        <w:rPr>
          <w:rFonts w:ascii="Arial" w:hAnsi="Arial" w:cs="Arial"/>
          <w:b/>
        </w:rPr>
        <w:t>IV</w:t>
      </w:r>
      <w:r w:rsidRPr="00112E2B">
        <w:rPr>
          <w:rFonts w:ascii="Arial" w:hAnsi="Arial" w:cs="Arial"/>
        </w:rPr>
        <w:t xml:space="preserve"> – Riscos Fiscais; e,</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112E2B">
        <w:rPr>
          <w:rFonts w:ascii="Arial" w:hAnsi="Arial" w:cs="Arial"/>
          <w:b/>
        </w:rPr>
        <w:t>V</w:t>
      </w:r>
      <w:r w:rsidRPr="00112E2B">
        <w:rPr>
          <w:rFonts w:ascii="Arial" w:hAnsi="Arial" w:cs="Arial"/>
        </w:rPr>
        <w:t xml:space="preserve"> – Obras em andamento.</w:t>
      </w:r>
    </w:p>
    <w:p w:rsidR="00C16616" w:rsidRPr="00112E2B" w:rsidRDefault="00C16616" w:rsidP="00C16616">
      <w:pPr>
        <w:pStyle w:val="Ttulo1"/>
        <w:jc w:val="both"/>
      </w:pPr>
    </w:p>
    <w:p w:rsidR="00C16616" w:rsidRPr="00112E2B" w:rsidRDefault="00C16616" w:rsidP="00C16616">
      <w:pPr>
        <w:pStyle w:val="Ttulo1"/>
        <w:jc w:val="both"/>
      </w:pPr>
      <w:r w:rsidRPr="00112E2B">
        <w:t>CAPÍTULO I</w:t>
      </w: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METAS E PRIORIDADES DA ADMINISTRAÇÃO PÚBLICA MUNICIPAL</w:t>
      </w:r>
    </w:p>
    <w:p w:rsidR="00C16616" w:rsidRPr="00112E2B" w:rsidRDefault="00C16616" w:rsidP="00C16616">
      <w:pPr>
        <w:widowControl w:val="0"/>
        <w:jc w:val="both"/>
        <w:rPr>
          <w:rFonts w:ascii="Arial" w:hAnsi="Arial" w:cs="Arial"/>
          <w:b/>
          <w:snapToGrid w:val="0"/>
        </w:rPr>
      </w:pP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bCs/>
        </w:rPr>
        <w:t xml:space="preserve">Artigo 2º - </w:t>
      </w:r>
      <w:r w:rsidRPr="00112E2B">
        <w:rPr>
          <w:rFonts w:ascii="Arial" w:hAnsi="Arial" w:cs="Arial"/>
        </w:rPr>
        <w:t>Constituem prioridades do Governo Municipal:</w:t>
      </w: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bCs/>
        </w:rPr>
        <w:lastRenderedPageBreak/>
        <w:t xml:space="preserve">I </w:t>
      </w:r>
      <w:r w:rsidRPr="00112E2B">
        <w:rPr>
          <w:rFonts w:ascii="Arial" w:hAnsi="Arial" w:cs="Arial"/>
        </w:rPr>
        <w:t>- implementar políticas municipais de responsabilidade social;</w:t>
      </w: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bCs/>
        </w:rPr>
        <w:t>II</w:t>
      </w:r>
      <w:r w:rsidRPr="00112E2B">
        <w:rPr>
          <w:rFonts w:ascii="Arial" w:hAnsi="Arial" w:cs="Arial"/>
          <w:bCs/>
        </w:rPr>
        <w:t xml:space="preserve"> - </w:t>
      </w:r>
      <w:r w:rsidRPr="00112E2B">
        <w:rPr>
          <w:rFonts w:ascii="Arial" w:hAnsi="Arial" w:cs="Arial"/>
        </w:rPr>
        <w:t>a austeridade na gestão dos recursos públicos;</w:t>
      </w:r>
    </w:p>
    <w:p w:rsidR="00C16616" w:rsidRPr="00112E2B" w:rsidRDefault="00C16616" w:rsidP="00C16616">
      <w:pPr>
        <w:tabs>
          <w:tab w:val="left" w:pos="1701"/>
        </w:tabs>
        <w:jc w:val="both"/>
        <w:rPr>
          <w:rFonts w:ascii="Arial" w:hAnsi="Arial" w:cs="Arial"/>
        </w:rPr>
      </w:pPr>
      <w:r w:rsidRPr="00112E2B">
        <w:rPr>
          <w:rFonts w:ascii="Arial" w:hAnsi="Arial" w:cs="Arial"/>
          <w:b/>
          <w:bCs/>
        </w:rPr>
        <w:t>III</w:t>
      </w:r>
      <w:r w:rsidRPr="00112E2B">
        <w:rPr>
          <w:rFonts w:ascii="Arial" w:hAnsi="Arial" w:cs="Arial"/>
        </w:rPr>
        <w:t xml:space="preserve"> - promover a adequação, modernização e eficiência dos serviços públicos;</w:t>
      </w:r>
    </w:p>
    <w:p w:rsidR="00C16616" w:rsidRPr="00112E2B" w:rsidRDefault="00C16616" w:rsidP="00C16616">
      <w:pPr>
        <w:tabs>
          <w:tab w:val="left" w:pos="1701"/>
        </w:tabs>
        <w:jc w:val="both"/>
        <w:rPr>
          <w:rFonts w:ascii="Arial" w:hAnsi="Arial" w:cs="Arial"/>
        </w:rPr>
      </w:pPr>
      <w:r w:rsidRPr="00112E2B">
        <w:rPr>
          <w:rFonts w:ascii="Arial" w:hAnsi="Arial" w:cs="Arial"/>
          <w:b/>
          <w:bCs/>
        </w:rPr>
        <w:t>IV</w:t>
      </w:r>
      <w:r w:rsidRPr="00112E2B">
        <w:rPr>
          <w:rFonts w:ascii="Arial" w:hAnsi="Arial" w:cs="Arial"/>
        </w:rPr>
        <w:t xml:space="preserve"> - promover o aprimoramento, modernização e valorização do quadro de servidores;</w:t>
      </w:r>
    </w:p>
    <w:p w:rsidR="00C16616" w:rsidRPr="00112E2B" w:rsidRDefault="00C16616" w:rsidP="00C16616">
      <w:pPr>
        <w:tabs>
          <w:tab w:val="left" w:pos="1701"/>
        </w:tabs>
        <w:jc w:val="both"/>
        <w:rPr>
          <w:rFonts w:ascii="Arial" w:hAnsi="Arial" w:cs="Arial"/>
        </w:rPr>
      </w:pPr>
      <w:r w:rsidRPr="00112E2B">
        <w:rPr>
          <w:rFonts w:ascii="Arial" w:hAnsi="Arial" w:cs="Arial"/>
          <w:b/>
          <w:bCs/>
        </w:rPr>
        <w:t>V</w:t>
      </w:r>
      <w:r w:rsidRPr="00112E2B">
        <w:rPr>
          <w:rFonts w:ascii="Arial" w:hAnsi="Arial" w:cs="Arial"/>
          <w:b/>
        </w:rPr>
        <w:t xml:space="preserve"> </w:t>
      </w:r>
      <w:r w:rsidRPr="00112E2B">
        <w:rPr>
          <w:rFonts w:ascii="Arial" w:hAnsi="Arial" w:cs="Arial"/>
        </w:rPr>
        <w:t>- promover a adequação da infraestrutura urbana e do sistema viário;</w:t>
      </w:r>
    </w:p>
    <w:p w:rsidR="00C16616" w:rsidRPr="00112E2B" w:rsidRDefault="00C16616" w:rsidP="00C16616">
      <w:pPr>
        <w:tabs>
          <w:tab w:val="left" w:pos="1701"/>
        </w:tabs>
        <w:jc w:val="both"/>
        <w:rPr>
          <w:rFonts w:ascii="Arial" w:hAnsi="Arial" w:cs="Arial"/>
        </w:rPr>
      </w:pPr>
      <w:r w:rsidRPr="00112E2B">
        <w:rPr>
          <w:rFonts w:ascii="Arial" w:hAnsi="Arial" w:cs="Arial"/>
          <w:b/>
          <w:bCs/>
        </w:rPr>
        <w:t>VI</w:t>
      </w:r>
      <w:r w:rsidRPr="00112E2B">
        <w:rPr>
          <w:rFonts w:ascii="Arial" w:hAnsi="Arial" w:cs="Arial"/>
        </w:rPr>
        <w:t xml:space="preserve"> - promover o desenvolvimento econômico sustentável do Município; e</w:t>
      </w: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bCs/>
        </w:rPr>
        <w:t>VII</w:t>
      </w:r>
      <w:r w:rsidRPr="00112E2B">
        <w:rPr>
          <w:rFonts w:ascii="Arial" w:hAnsi="Arial" w:cs="Arial"/>
          <w:bCs/>
        </w:rPr>
        <w:t xml:space="preserve"> - </w:t>
      </w:r>
      <w:r w:rsidRPr="00112E2B">
        <w:rPr>
          <w:rFonts w:ascii="Arial" w:hAnsi="Arial" w:cs="Arial"/>
        </w:rPr>
        <w:t>à promoção do desenvolvimento rural.</w:t>
      </w:r>
    </w:p>
    <w:p w:rsidR="00C16616" w:rsidRPr="00112E2B" w:rsidRDefault="00C16616" w:rsidP="00C16616">
      <w:pPr>
        <w:widowControl w:val="0"/>
        <w:jc w:val="both"/>
        <w:rPr>
          <w:rFonts w:ascii="Arial" w:hAnsi="Arial" w:cs="Arial"/>
          <w:snapToGrid w:val="0"/>
        </w:rPr>
      </w:pPr>
    </w:p>
    <w:p w:rsidR="00C16616" w:rsidRPr="00112E2B" w:rsidRDefault="00C16616" w:rsidP="00C16616">
      <w:pPr>
        <w:jc w:val="both"/>
        <w:rPr>
          <w:rFonts w:ascii="Arial" w:hAnsi="Arial" w:cs="Arial"/>
        </w:rPr>
      </w:pPr>
      <w:r w:rsidRPr="00112E2B">
        <w:rPr>
          <w:rFonts w:ascii="Arial" w:hAnsi="Arial" w:cs="Arial"/>
          <w:b/>
        </w:rPr>
        <w:t>§ 1</w:t>
      </w:r>
      <w:r w:rsidRPr="00112E2B">
        <w:rPr>
          <w:rFonts w:ascii="Arial" w:hAnsi="Arial" w:cs="Arial"/>
          <w:b/>
          <w:snapToGrid w:val="0"/>
          <w:u w:val="single"/>
          <w:vertAlign w:val="superscript"/>
        </w:rPr>
        <w:t>o</w:t>
      </w:r>
      <w:r w:rsidRPr="00112E2B">
        <w:rPr>
          <w:rFonts w:ascii="Arial" w:hAnsi="Arial" w:cs="Arial"/>
        </w:rPr>
        <w:t xml:space="preserve"> - O Projeto de Lei Orçamentária Anual será elaborado em consonância com as metas e prioridades estabelecidas na forma do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jc w:val="both"/>
        <w:rPr>
          <w:rFonts w:ascii="Arial" w:hAnsi="Arial" w:cs="Arial"/>
        </w:rPr>
      </w:pPr>
    </w:p>
    <w:p w:rsidR="00C16616" w:rsidRPr="00112E2B" w:rsidRDefault="00C16616" w:rsidP="00C16616">
      <w:pPr>
        <w:jc w:val="both"/>
        <w:rPr>
          <w:rFonts w:ascii="Arial" w:hAnsi="Arial" w:cs="Arial"/>
        </w:rPr>
      </w:pPr>
      <w:r w:rsidRPr="00112E2B">
        <w:rPr>
          <w:rFonts w:ascii="Arial" w:hAnsi="Arial" w:cs="Arial"/>
          <w:b/>
        </w:rPr>
        <w:t>§ 2</w:t>
      </w:r>
      <w:r w:rsidRPr="00112E2B">
        <w:rPr>
          <w:rFonts w:ascii="Arial" w:hAnsi="Arial" w:cs="Arial"/>
          <w:b/>
          <w:snapToGrid w:val="0"/>
          <w:u w:val="single"/>
          <w:vertAlign w:val="superscript"/>
        </w:rPr>
        <w:t>o</w:t>
      </w:r>
      <w:r w:rsidRPr="00112E2B">
        <w:rPr>
          <w:rFonts w:ascii="Arial" w:hAnsi="Arial" w:cs="Arial"/>
        </w:rPr>
        <w:t xml:space="preserve"> - Na destinação de recursos às ações constantes do projeto de lei orçamentária serão adotados os critérios estabelecidos em lei específica ou no Plano Plurianual - PPA.</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3º - </w:t>
      </w:r>
      <w:r w:rsidRPr="00112E2B">
        <w:rPr>
          <w:rFonts w:ascii="Arial" w:hAnsi="Arial" w:cs="Arial"/>
          <w:snapToGrid w:val="0"/>
        </w:rPr>
        <w:t>Em conformidade com o disposto no § 2º, do Artigo 165, da Constituição Federal, no Artigo 4º, da Lei Complementar nº 101/2000 - LRF e no Artigo 91 da Lei Orgânica do Município, as metas e prioridades para o exercício financeiro de 2025 estarão estabelecidas no Anexo II – Metas e Prioridades.</w:t>
      </w:r>
    </w:p>
    <w:p w:rsidR="00C16616" w:rsidRPr="00112E2B" w:rsidRDefault="00C16616" w:rsidP="00C16616">
      <w:pPr>
        <w:widowControl w:val="0"/>
        <w:tabs>
          <w:tab w:val="left" w:pos="2268"/>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Na elaboração da proposta orçamentária para o exercício financeiro de 2025 será dada prioridade:</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à redução das desigualdades sociais e melhoria da qualidade de vida da população;</w:t>
      </w:r>
    </w:p>
    <w:p w:rsidR="00C16616" w:rsidRPr="00112E2B" w:rsidRDefault="00C16616" w:rsidP="00C16616">
      <w:pPr>
        <w:widowControl w:val="0"/>
        <w:jc w:val="both"/>
        <w:rPr>
          <w:rFonts w:ascii="Arial" w:hAnsi="Arial" w:cs="Arial"/>
        </w:rPr>
      </w:pPr>
      <w:r w:rsidRPr="00112E2B">
        <w:rPr>
          <w:rFonts w:ascii="Arial" w:hAnsi="Arial" w:cs="Arial"/>
          <w:b/>
        </w:rPr>
        <w:t xml:space="preserve">II </w:t>
      </w:r>
      <w:r w:rsidRPr="00112E2B">
        <w:rPr>
          <w:rFonts w:ascii="Arial" w:hAnsi="Arial" w:cs="Arial"/>
        </w:rPr>
        <w:t>- ao atendimento integral à criança e ao adolescente;</w:t>
      </w:r>
    </w:p>
    <w:p w:rsidR="00C16616" w:rsidRPr="00112E2B" w:rsidRDefault="00C16616" w:rsidP="00C16616">
      <w:pPr>
        <w:widowControl w:val="0"/>
        <w:jc w:val="both"/>
        <w:rPr>
          <w:rFonts w:ascii="Arial" w:hAnsi="Arial" w:cs="Arial"/>
        </w:rPr>
      </w:pPr>
      <w:r w:rsidRPr="00112E2B">
        <w:rPr>
          <w:rFonts w:ascii="Arial" w:hAnsi="Arial" w:cs="Arial"/>
          <w:b/>
        </w:rPr>
        <w:t>III</w:t>
      </w:r>
      <w:r w:rsidRPr="00112E2B">
        <w:rPr>
          <w:rFonts w:ascii="Arial" w:hAnsi="Arial" w:cs="Arial"/>
        </w:rPr>
        <w:t xml:space="preserve"> - à austeridade na gestão dos recursos públicos;</w:t>
      </w:r>
    </w:p>
    <w:p w:rsidR="00C16616" w:rsidRPr="00112E2B" w:rsidRDefault="00C16616" w:rsidP="00C16616">
      <w:pPr>
        <w:widowControl w:val="0"/>
        <w:jc w:val="both"/>
        <w:rPr>
          <w:rFonts w:ascii="Arial" w:hAnsi="Arial" w:cs="Arial"/>
        </w:rPr>
      </w:pPr>
      <w:r w:rsidRPr="00112E2B">
        <w:rPr>
          <w:rFonts w:ascii="Arial" w:hAnsi="Arial" w:cs="Arial"/>
          <w:b/>
        </w:rPr>
        <w:t>IV</w:t>
      </w:r>
      <w:r w:rsidRPr="00112E2B">
        <w:rPr>
          <w:rFonts w:ascii="Arial" w:hAnsi="Arial" w:cs="Arial"/>
        </w:rPr>
        <w:t xml:space="preserve"> - à geração de emprego e renda e preservação dos recursos naturais;</w:t>
      </w:r>
    </w:p>
    <w:p w:rsidR="00C16616" w:rsidRPr="00112E2B" w:rsidRDefault="00C16616" w:rsidP="00C16616">
      <w:pPr>
        <w:widowControl w:val="0"/>
        <w:jc w:val="both"/>
        <w:rPr>
          <w:rFonts w:ascii="Arial" w:hAnsi="Arial" w:cs="Arial"/>
        </w:rPr>
      </w:pPr>
      <w:r w:rsidRPr="00112E2B">
        <w:rPr>
          <w:rFonts w:ascii="Arial" w:hAnsi="Arial" w:cs="Arial"/>
          <w:b/>
        </w:rPr>
        <w:t>V</w:t>
      </w:r>
      <w:r w:rsidRPr="00112E2B">
        <w:rPr>
          <w:rFonts w:ascii="Arial" w:hAnsi="Arial" w:cs="Arial"/>
        </w:rPr>
        <w:t xml:space="preserve"> - à promoção do desenvolvimento urbano; e</w:t>
      </w:r>
    </w:p>
    <w:p w:rsidR="00C16616" w:rsidRPr="00112E2B" w:rsidRDefault="00C16616" w:rsidP="00C16616">
      <w:pPr>
        <w:widowControl w:val="0"/>
        <w:jc w:val="both"/>
        <w:rPr>
          <w:rFonts w:ascii="Arial" w:hAnsi="Arial" w:cs="Arial"/>
        </w:rPr>
      </w:pPr>
      <w:r w:rsidRPr="00112E2B">
        <w:rPr>
          <w:rFonts w:ascii="Arial" w:hAnsi="Arial" w:cs="Arial"/>
          <w:b/>
        </w:rPr>
        <w:t>VI</w:t>
      </w:r>
      <w:r w:rsidRPr="00112E2B">
        <w:rPr>
          <w:rFonts w:ascii="Arial" w:hAnsi="Arial" w:cs="Arial"/>
        </w:rPr>
        <w:t xml:space="preserve"> - à promoção do desenvolvimento rural.</w:t>
      </w:r>
    </w:p>
    <w:p w:rsidR="00C16616" w:rsidRPr="00112E2B" w:rsidRDefault="00C16616" w:rsidP="00C16616">
      <w:pPr>
        <w:widowControl w:val="0"/>
        <w:jc w:val="both"/>
        <w:rPr>
          <w:rFonts w:ascii="Arial" w:hAnsi="Arial" w:cs="Arial"/>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2º</w:t>
      </w:r>
      <w:r w:rsidRPr="00112E2B">
        <w:rPr>
          <w:rFonts w:ascii="Arial" w:hAnsi="Arial" w:cs="Arial"/>
          <w:snapToGrid w:val="0"/>
        </w:rPr>
        <w:t xml:space="preserve"> A execução das ações vinculadas às metas e prioridades do Anexo a que se refere o </w:t>
      </w:r>
      <w:r w:rsidRPr="00112E2B">
        <w:rPr>
          <w:rFonts w:ascii="Arial" w:hAnsi="Arial" w:cs="Arial"/>
          <w:i/>
          <w:snapToGrid w:val="0"/>
        </w:rPr>
        <w:t>caput</w:t>
      </w:r>
      <w:r w:rsidRPr="00112E2B">
        <w:rPr>
          <w:rFonts w:ascii="Arial" w:hAnsi="Arial" w:cs="Arial"/>
          <w:snapToGrid w:val="0"/>
        </w:rPr>
        <w:t xml:space="preserve"> estará condicionada à manutenção do equilíbrio das contas públicas, conforme Anexo de Metas Fiscais que integra a presente lei.</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b/>
          <w:i/>
        </w:rPr>
      </w:pPr>
      <w:r w:rsidRPr="00112E2B">
        <w:rPr>
          <w:rFonts w:ascii="Arial" w:hAnsi="Arial" w:cs="Arial"/>
          <w:b/>
          <w:snapToGrid w:val="0"/>
        </w:rPr>
        <w:t xml:space="preserve">Artigo 4º - </w:t>
      </w:r>
      <w:r w:rsidRPr="00112E2B">
        <w:rPr>
          <w:rFonts w:ascii="Arial" w:hAnsi="Arial" w:cs="Arial"/>
          <w:snapToGrid w:val="0"/>
        </w:rPr>
        <w:t>Será garantida a destinação</w:t>
      </w:r>
      <w:r w:rsidRPr="00112E2B">
        <w:rPr>
          <w:rFonts w:ascii="Arial" w:hAnsi="Arial" w:cs="Arial"/>
        </w:rPr>
        <w:t xml:space="preserve"> de recursos orçamentários para a oferta de programas públicos de atendimento à infância e à adolescência no Município, conforme disposto no Artigo 227 da Constituição Federal/88 e no Artigo 4º da Lei Federal nº 8.069, de 13 de julho de 1990 e suas alterações - Estatuto da Criança e do Adolescente.</w:t>
      </w:r>
    </w:p>
    <w:p w:rsidR="00C16616" w:rsidRPr="00112E2B" w:rsidRDefault="00C16616" w:rsidP="00C16616">
      <w:pPr>
        <w:widowControl w:val="0"/>
        <w:jc w:val="both"/>
        <w:rPr>
          <w:rFonts w:ascii="Arial" w:hAnsi="Arial" w:cs="Arial"/>
          <w:b/>
          <w:i/>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Artigo 5º -</w:t>
      </w:r>
      <w:r w:rsidRPr="00112E2B">
        <w:rPr>
          <w:rFonts w:ascii="Arial" w:hAnsi="Arial" w:cs="Arial"/>
          <w:snapToGrid w:val="0"/>
        </w:rPr>
        <w:t xml:space="preserve"> Na elaboração do Orçamento da Administração Pública Municipal buscar-se-á a contribuição de toda a sociedade num processo de democracia participativa, voluntária e universal, por meio dos Conselhos Municipais, em atendimento ao disposto no Artigo 44 da Lei Federal nº 10.257, de 10 de julho de 2001 - Estatuto da Cidade.</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tabs>
          <w:tab w:val="left" w:pos="2268"/>
        </w:tabs>
        <w:jc w:val="both"/>
        <w:rPr>
          <w:rFonts w:ascii="Arial" w:hAnsi="Arial" w:cs="Arial"/>
          <w:snapToGrid w:val="0"/>
        </w:rPr>
      </w:pPr>
      <w:r w:rsidRPr="00112E2B">
        <w:rPr>
          <w:rFonts w:ascii="Arial" w:hAnsi="Arial" w:cs="Arial"/>
          <w:b/>
          <w:snapToGrid w:val="0"/>
        </w:rPr>
        <w:t>Parágrafo Único -</w:t>
      </w:r>
      <w:r w:rsidRPr="00112E2B">
        <w:rPr>
          <w:rFonts w:ascii="Arial" w:hAnsi="Arial" w:cs="Arial"/>
          <w:snapToGrid w:val="0"/>
        </w:rPr>
        <w:t xml:space="preserve"> Durante o processo de elaboração da proposta orçamentária o Poder Executivo promoverá audiência pública, nos termos do parágrafo único do Artigo 48 da Lei Complementar nº 101/2000 - LRF.</w:t>
      </w:r>
    </w:p>
    <w:p w:rsidR="00C16616" w:rsidRPr="00112E2B" w:rsidRDefault="00C16616" w:rsidP="00C16616">
      <w:pPr>
        <w:widowControl w:val="0"/>
        <w:tabs>
          <w:tab w:val="left" w:pos="2268"/>
        </w:tabs>
        <w:jc w:val="both"/>
        <w:rPr>
          <w:rFonts w:ascii="Arial" w:hAnsi="Arial" w:cs="Arial"/>
          <w:snapToGrid w:val="0"/>
        </w:rPr>
      </w:pP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lastRenderedPageBreak/>
        <w:t>CAPÍTULO II</w:t>
      </w: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ORGANIZAÇÃO E ESTRUTURA DOS ORÇAMENTOS</w:t>
      </w:r>
    </w:p>
    <w:p w:rsidR="00C16616" w:rsidRPr="00112E2B" w:rsidRDefault="00C16616" w:rsidP="00C16616">
      <w:pPr>
        <w:jc w:val="both"/>
        <w:rPr>
          <w:rFonts w:ascii="Arial" w:hAnsi="Arial" w:cs="Arial"/>
        </w:rPr>
      </w:pPr>
    </w:p>
    <w:p w:rsidR="00C16616" w:rsidRPr="00112E2B" w:rsidRDefault="00C16616" w:rsidP="00C16616">
      <w:pPr>
        <w:tabs>
          <w:tab w:val="left" w:pos="1418"/>
        </w:tabs>
        <w:jc w:val="both"/>
        <w:rPr>
          <w:rFonts w:ascii="Arial" w:hAnsi="Arial" w:cs="Arial"/>
        </w:rPr>
      </w:pPr>
      <w:r w:rsidRPr="00112E2B">
        <w:rPr>
          <w:rFonts w:ascii="Arial" w:hAnsi="Arial" w:cs="Arial"/>
          <w:b/>
        </w:rPr>
        <w:t xml:space="preserve">Artigo 6º - </w:t>
      </w:r>
      <w:r w:rsidRPr="00112E2B">
        <w:rPr>
          <w:rFonts w:ascii="Arial" w:hAnsi="Arial" w:cs="Arial"/>
        </w:rPr>
        <w:t>O Projeto de Lei Orçamentária do Município, relativo ao exercício de 2025 deve obedecer aos princípios de justiça social, de controle social, da transparência na elaboração e execução do orçamento e da economicidade, observado o seguinte:</w:t>
      </w:r>
    </w:p>
    <w:p w:rsidR="00C16616" w:rsidRPr="00112E2B" w:rsidRDefault="00C16616" w:rsidP="00C16616">
      <w:pPr>
        <w:tabs>
          <w:tab w:val="left" w:pos="1418"/>
        </w:tabs>
        <w:jc w:val="both"/>
        <w:rPr>
          <w:rFonts w:ascii="Arial" w:hAnsi="Arial" w:cs="Arial"/>
        </w:rPr>
      </w:pPr>
    </w:p>
    <w:p w:rsidR="00C16616" w:rsidRPr="00112E2B" w:rsidRDefault="00C16616" w:rsidP="00C16616">
      <w:pPr>
        <w:jc w:val="both"/>
        <w:rPr>
          <w:rFonts w:ascii="Arial" w:hAnsi="Arial" w:cs="Arial"/>
        </w:rPr>
      </w:pPr>
      <w:r w:rsidRPr="00112E2B">
        <w:rPr>
          <w:rFonts w:ascii="Arial" w:hAnsi="Arial" w:cs="Arial"/>
          <w:b/>
        </w:rPr>
        <w:t xml:space="preserve">I </w:t>
      </w:r>
      <w:r w:rsidRPr="00112E2B">
        <w:rPr>
          <w:rFonts w:ascii="Arial" w:hAnsi="Arial" w:cs="Arial"/>
        </w:rPr>
        <w:t>- o princípio de justiça social implica assegurar, na elaboração e na execução do orçamento, projetos e atividades que possam reduzir as desigualdades entre indivíduos e regiões da Cidade, bem como combater a exclusão social;</w:t>
      </w:r>
    </w:p>
    <w:p w:rsidR="00C16616" w:rsidRPr="00112E2B" w:rsidRDefault="00C16616" w:rsidP="00C16616">
      <w:pPr>
        <w:jc w:val="both"/>
        <w:rPr>
          <w:rFonts w:ascii="Arial" w:hAnsi="Arial" w:cs="Arial"/>
        </w:rPr>
      </w:pPr>
      <w:r w:rsidRPr="00112E2B">
        <w:rPr>
          <w:rFonts w:ascii="Arial" w:hAnsi="Arial" w:cs="Arial"/>
          <w:b/>
        </w:rPr>
        <w:t>II</w:t>
      </w:r>
      <w:r w:rsidRPr="00112E2B">
        <w:rPr>
          <w:rFonts w:ascii="Arial" w:hAnsi="Arial" w:cs="Arial"/>
        </w:rPr>
        <w:t xml:space="preserve"> - o princípio de controle social implica assegurar a todos os cidadãos a participação na elaboração e no acompanhamento do orçamento;</w:t>
      </w:r>
    </w:p>
    <w:p w:rsidR="00C16616" w:rsidRPr="00112E2B" w:rsidRDefault="00C16616" w:rsidP="00C16616">
      <w:pPr>
        <w:jc w:val="both"/>
        <w:rPr>
          <w:rFonts w:ascii="Arial" w:hAnsi="Arial" w:cs="Arial"/>
        </w:rPr>
      </w:pPr>
      <w:r w:rsidRPr="00112E2B">
        <w:rPr>
          <w:rFonts w:ascii="Arial" w:hAnsi="Arial" w:cs="Arial"/>
          <w:b/>
        </w:rPr>
        <w:t xml:space="preserve">III </w:t>
      </w:r>
      <w:r w:rsidRPr="00112E2B">
        <w:rPr>
          <w:rFonts w:ascii="Arial" w:hAnsi="Arial" w:cs="Arial"/>
        </w:rPr>
        <w:t>- o princípio de transparência implica, além da observação do princípio constitucional da publicidade, a utilização dos meios disponíveis para garantir o real acesso dos munícipes às informações relativas ao orçamento; e</w:t>
      </w:r>
    </w:p>
    <w:p w:rsidR="00C16616" w:rsidRPr="00112E2B" w:rsidRDefault="00C16616" w:rsidP="00C16616">
      <w:pPr>
        <w:jc w:val="both"/>
        <w:rPr>
          <w:rFonts w:ascii="Arial" w:hAnsi="Arial" w:cs="Arial"/>
        </w:rPr>
      </w:pPr>
      <w:r w:rsidRPr="00112E2B">
        <w:rPr>
          <w:rFonts w:ascii="Arial" w:hAnsi="Arial" w:cs="Arial"/>
          <w:b/>
        </w:rPr>
        <w:t>IV</w:t>
      </w:r>
      <w:r w:rsidRPr="00112E2B">
        <w:rPr>
          <w:rFonts w:ascii="Arial" w:hAnsi="Arial" w:cs="Arial"/>
        </w:rPr>
        <w:t xml:space="preserve"> - o princípio da economicidade implica, </w:t>
      </w:r>
      <w:r w:rsidRPr="00112E2B">
        <w:rPr>
          <w:rFonts w:ascii="Arial" w:hAnsi="Arial" w:cs="Arial"/>
          <w:iCs/>
        </w:rPr>
        <w:t xml:space="preserve">na relação custo-benefício, ou seja, na </w:t>
      </w:r>
      <w:r w:rsidRPr="00112E2B">
        <w:rPr>
          <w:rFonts w:ascii="Arial" w:hAnsi="Arial" w:cs="Arial"/>
        </w:rPr>
        <w:t xml:space="preserve">eficiência dos atos de despesa, que conduz à própria eficiência </w:t>
      </w:r>
      <w:r w:rsidRPr="00112E2B">
        <w:rPr>
          <w:rStyle w:val="hlhilite"/>
          <w:rFonts w:ascii="Arial" w:hAnsi="Arial" w:cs="Arial"/>
        </w:rPr>
        <w:t>da</w:t>
      </w:r>
      <w:r w:rsidRPr="00112E2B">
        <w:rPr>
          <w:rFonts w:ascii="Arial" w:hAnsi="Arial" w:cs="Arial"/>
        </w:rPr>
        <w:t xml:space="preserve"> atividade administrativa.</w:t>
      </w:r>
    </w:p>
    <w:p w:rsidR="00C16616" w:rsidRPr="00112E2B" w:rsidRDefault="00C16616" w:rsidP="00C16616">
      <w:pPr>
        <w:jc w:val="both"/>
        <w:rPr>
          <w:rFonts w:ascii="Arial" w:hAnsi="Arial" w:cs="Arial"/>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7º - </w:t>
      </w:r>
      <w:r w:rsidRPr="00112E2B">
        <w:rPr>
          <w:rFonts w:ascii="Arial" w:hAnsi="Arial" w:cs="Arial"/>
          <w:snapToGrid w:val="0"/>
        </w:rPr>
        <w:t>Para efeito desta lei entende-se por:</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w:t>
      </w:r>
      <w:r w:rsidRPr="00112E2B">
        <w:rPr>
          <w:rFonts w:ascii="Arial" w:hAnsi="Arial" w:cs="Arial"/>
          <w:snapToGrid w:val="0"/>
        </w:rPr>
        <w:t xml:space="preserve"> - diretriz: o conjunto de princípios que orienta a execução dos Programas de Governo;</w:t>
      </w:r>
    </w:p>
    <w:p w:rsidR="00C16616" w:rsidRPr="00112E2B" w:rsidRDefault="00C16616" w:rsidP="00C16616">
      <w:pPr>
        <w:widowControl w:val="0"/>
        <w:jc w:val="both"/>
        <w:rPr>
          <w:rFonts w:ascii="Arial" w:hAnsi="Arial" w:cs="Arial"/>
        </w:rPr>
      </w:pPr>
      <w:r w:rsidRPr="00112E2B">
        <w:rPr>
          <w:rFonts w:ascii="Arial" w:hAnsi="Arial" w:cs="Arial"/>
          <w:b/>
          <w:snapToGrid w:val="0"/>
        </w:rPr>
        <w:t>II</w:t>
      </w:r>
      <w:r w:rsidRPr="00112E2B">
        <w:rPr>
          <w:rFonts w:ascii="Arial" w:hAnsi="Arial" w:cs="Arial"/>
          <w:snapToGrid w:val="0"/>
        </w:rPr>
        <w:t xml:space="preserve"> - função: </w:t>
      </w:r>
      <w:r w:rsidRPr="00112E2B">
        <w:rPr>
          <w:rFonts w:ascii="Arial" w:hAnsi="Arial" w:cs="Arial"/>
        </w:rPr>
        <w:t>o maior nível de agregação das diversas áreas de despesa que competem ao setor público;</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w:t>
      </w:r>
      <w:proofErr w:type="spellStart"/>
      <w:r w:rsidRPr="00112E2B">
        <w:rPr>
          <w:rFonts w:ascii="Arial" w:hAnsi="Arial" w:cs="Arial"/>
          <w:snapToGrid w:val="0"/>
        </w:rPr>
        <w:t>subfunção</w:t>
      </w:r>
      <w:proofErr w:type="spellEnd"/>
      <w:r w:rsidRPr="00112E2B">
        <w:rPr>
          <w:rFonts w:ascii="Arial" w:hAnsi="Arial" w:cs="Arial"/>
          <w:snapToGrid w:val="0"/>
        </w:rPr>
        <w:t xml:space="preserve">: </w:t>
      </w:r>
      <w:r w:rsidRPr="00112E2B">
        <w:rPr>
          <w:rFonts w:ascii="Arial" w:hAnsi="Arial" w:cs="Arial"/>
        </w:rPr>
        <w:t>uma partição da função que visa agregar determinado subconjunto da despesa do setor público;</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IV</w:t>
      </w:r>
      <w:r w:rsidRPr="00112E2B">
        <w:rPr>
          <w:rFonts w:ascii="Arial" w:hAnsi="Arial" w:cs="Arial"/>
          <w:snapToGrid w:val="0"/>
        </w:rPr>
        <w:t xml:space="preserve"> - programa: o instrumento de organização da ação governamental que visa à concretização dos objetivos pretendidos, mensurados por indicadores estabelecidos no Plano Plurianual;</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V</w:t>
      </w:r>
      <w:r w:rsidRPr="00112E2B">
        <w:rPr>
          <w:rFonts w:ascii="Arial" w:hAnsi="Arial" w:cs="Arial"/>
          <w:snapToGrid w:val="0"/>
        </w:rPr>
        <w:t xml:space="preserve"> - </w:t>
      </w:r>
      <w:r w:rsidRPr="00112E2B">
        <w:rPr>
          <w:rFonts w:ascii="Arial" w:hAnsi="Arial" w:cs="Arial"/>
        </w:rPr>
        <w:t>ação: especifica a forma de alcance do objetivo do programa de governo, onde descreve o produto e a meta física programada e sua finalidade, bem como os investimentos que devem ser detalhados em unidades e medidas;</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VI</w:t>
      </w:r>
      <w:r w:rsidRPr="00112E2B">
        <w:rPr>
          <w:rFonts w:ascii="Arial" w:hAnsi="Arial" w:cs="Arial"/>
          <w:snapToGrid w:val="0"/>
        </w:rPr>
        <w:t xml:space="preserve"> - atividade: o instrumento de programação para alcançar os objetivos de um programa envolvendo um conjunto de operações que se realizam de modo contínuo e permanente e das quais resulta um produto necessário à manutenção das ações de governo;</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VII</w:t>
      </w:r>
      <w:r w:rsidRPr="00112E2B">
        <w:rPr>
          <w:rFonts w:ascii="Arial" w:hAnsi="Arial" w:cs="Arial"/>
          <w:snapToGrid w:val="0"/>
        </w:rPr>
        <w:t xml:space="preserve"> - projeto: o instrumento de programação para alcançar os objetivos de um programa envolvendo um conjunto de operações, limitadas no tempo, das quais resulta um produto que concorre para a expansão ou o aperfeiçoamento das ações de governo;</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VIII </w:t>
      </w:r>
      <w:r w:rsidRPr="00112E2B">
        <w:rPr>
          <w:rFonts w:ascii="Arial" w:hAnsi="Arial" w:cs="Arial"/>
          <w:snapToGrid w:val="0"/>
        </w:rPr>
        <w:t>- operação especial: o conjunto de despesas que não contribuem para a manutenção, expansão ou aperfeiçoamento das ações do governo, das quais não resultam em um produto e não geram contraprestação direta sob formas de bens ou serviços representando, basicamente, o detalhamento da função Encargos Especiais;</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IX</w:t>
      </w:r>
      <w:r w:rsidRPr="00112E2B">
        <w:rPr>
          <w:rFonts w:ascii="Arial" w:hAnsi="Arial" w:cs="Arial"/>
          <w:snapToGrid w:val="0"/>
        </w:rPr>
        <w:t xml:space="preserve"> - ó</w:t>
      </w:r>
      <w:r w:rsidRPr="00112E2B">
        <w:rPr>
          <w:rFonts w:ascii="Arial" w:hAnsi="Arial" w:cs="Arial"/>
          <w:bCs/>
        </w:rPr>
        <w:t>rgão orçamentário</w:t>
      </w:r>
      <w:r w:rsidRPr="00112E2B">
        <w:rPr>
          <w:rFonts w:ascii="Arial" w:hAnsi="Arial" w:cs="Arial"/>
        </w:rPr>
        <w:t>: constitui a categoria mais elevada da Classificação Institucional, onde são vinculadas as unidades orçamentárias para desenvolverem um programa de trabalho definido</w:t>
      </w:r>
      <w:r w:rsidRPr="00112E2B">
        <w:rPr>
          <w:rFonts w:ascii="Arial" w:hAnsi="Arial" w:cs="Arial"/>
          <w:snapToGrid w:val="0"/>
        </w:rPr>
        <w:t>;</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lastRenderedPageBreak/>
        <w:t>X</w:t>
      </w:r>
      <w:r w:rsidRPr="00112E2B">
        <w:rPr>
          <w:rFonts w:ascii="Arial" w:hAnsi="Arial" w:cs="Arial"/>
          <w:snapToGrid w:val="0"/>
        </w:rPr>
        <w:t xml:space="preserve"> - u</w:t>
      </w:r>
      <w:r w:rsidRPr="00112E2B">
        <w:rPr>
          <w:rFonts w:ascii="Arial" w:hAnsi="Arial" w:cs="Arial"/>
          <w:bCs/>
        </w:rPr>
        <w:t>nidade orçamentária</w:t>
      </w:r>
      <w:r w:rsidRPr="00112E2B">
        <w:rPr>
          <w:rFonts w:ascii="Arial" w:hAnsi="Arial" w:cs="Arial"/>
        </w:rPr>
        <w:t>: constitui-se num desdobramento de um órgão orçamentário, podendo ser da administração direta, ou da administração indireta em cujo nome a lei orçamentária anual consigna expressamente, dotações com vistas à sua manutenção e à realização de um determinado programa de trabalho;</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XI</w:t>
      </w:r>
      <w:r w:rsidRPr="00112E2B">
        <w:rPr>
          <w:rFonts w:ascii="Arial" w:hAnsi="Arial" w:cs="Arial"/>
          <w:snapToGrid w:val="0"/>
        </w:rPr>
        <w:t xml:space="preserve"> - modalidade de aplicação: a especificação da forma de aplicação dos recursos orçamentários;</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XII</w:t>
      </w:r>
      <w:r w:rsidRPr="00112E2B">
        <w:rPr>
          <w:rFonts w:ascii="Arial" w:hAnsi="Arial" w:cs="Arial"/>
          <w:snapToGrid w:val="0"/>
        </w:rPr>
        <w:t xml:space="preserve"> - concedente: o órgão ou entidade da Administração Pública Municipal responsável pela transferência de recursos financeiros, inclusive de descentralização de créditos orçamentários; e</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XIII</w:t>
      </w:r>
      <w:r w:rsidRPr="00112E2B">
        <w:rPr>
          <w:rFonts w:ascii="Arial" w:hAnsi="Arial" w:cs="Arial"/>
          <w:snapToGrid w:val="0"/>
        </w:rPr>
        <w:t xml:space="preserve"> - convenente: as entidades da Administração Pública Municipal e entidades privadas que recebem transferências financeiras, inclusive quando decorrentes de descentralização de créditos orçamentários.</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Cada programa identificará as ações necessárias para atingir seus objetivos sob a forma de atividades, projetos e operações especiais, especificando os respectivos valores e metas, bem como as unidades orçamentárias responsáveis pela realização da ação.</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 2º - </w:t>
      </w:r>
      <w:r w:rsidRPr="00112E2B">
        <w:rPr>
          <w:rFonts w:ascii="Arial" w:hAnsi="Arial" w:cs="Arial"/>
          <w:snapToGrid w:val="0"/>
        </w:rPr>
        <w:t xml:space="preserve">Cada atividade, projeto ou operação especial identificará a função e a </w:t>
      </w:r>
      <w:proofErr w:type="spellStart"/>
      <w:r w:rsidRPr="00112E2B">
        <w:rPr>
          <w:rFonts w:ascii="Arial" w:hAnsi="Arial" w:cs="Arial"/>
          <w:snapToGrid w:val="0"/>
        </w:rPr>
        <w:t>subfunção</w:t>
      </w:r>
      <w:proofErr w:type="spellEnd"/>
      <w:r w:rsidRPr="00112E2B">
        <w:rPr>
          <w:rFonts w:ascii="Arial" w:hAnsi="Arial" w:cs="Arial"/>
          <w:snapToGrid w:val="0"/>
        </w:rPr>
        <w:t xml:space="preserve"> às quais se vinculam.</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 3º - </w:t>
      </w:r>
      <w:r w:rsidRPr="00112E2B">
        <w:rPr>
          <w:rFonts w:ascii="Arial" w:hAnsi="Arial" w:cs="Arial"/>
          <w:snapToGrid w:val="0"/>
        </w:rPr>
        <w:t>As categorias de programação de que trata esta lei serão identificadas no projeto de Lei Orçamentária por programas, os quais estarão vinculados a atividades, projetos ou operações especiais mediante a indicação de suas metas físicas, sempre que possível.</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8º - </w:t>
      </w:r>
      <w:r w:rsidRPr="00112E2B">
        <w:rPr>
          <w:rFonts w:ascii="Arial" w:hAnsi="Arial" w:cs="Arial"/>
          <w:snapToGrid w:val="0"/>
        </w:rPr>
        <w:t>As metas físicas serão indicadas no desdobramento da programação vinculada aos respectivos projetos, atividades e operações especiais de modo a especificar a ação/meta integral ou parcial dos programas de trabalho.</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9º - </w:t>
      </w:r>
      <w:r w:rsidRPr="00112E2B">
        <w:rPr>
          <w:rFonts w:ascii="Arial" w:hAnsi="Arial" w:cs="Arial"/>
          <w:snapToGrid w:val="0"/>
        </w:rPr>
        <w:t>O Orçamento Fiscal que o Poder Executivo encaminhará ao Poder Legislativo até 30 de setembro de 2024 compreenderá a programação dos Poderes Legislativos e Executivos do Município, seus Órgãos e Fundos Municipais.</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10 - </w:t>
      </w:r>
      <w:r w:rsidRPr="00112E2B">
        <w:rPr>
          <w:rFonts w:ascii="Arial" w:hAnsi="Arial" w:cs="Arial"/>
          <w:snapToGrid w:val="0"/>
        </w:rPr>
        <w:t>O Orçamento Fiscal discriminará a despesa por unidade orçamentária, detalhada por categoria de programação em seu menor nível, com as respectivas dotações, especificando a esfera orçamentária, a categoria econômica, o grupo de natureza da despesa, a modalidade de aplicação, o elemento de despesa.</w:t>
      </w:r>
    </w:p>
    <w:p w:rsidR="00C16616" w:rsidRPr="00112E2B" w:rsidRDefault="00C16616" w:rsidP="00C16616">
      <w:pPr>
        <w:jc w:val="both"/>
        <w:rPr>
          <w:rFonts w:ascii="Arial" w:hAnsi="Arial" w:cs="Arial"/>
          <w:snapToGrid w:val="0"/>
        </w:rPr>
      </w:pPr>
      <w:r w:rsidRPr="00112E2B">
        <w:rPr>
          <w:rFonts w:ascii="Arial" w:hAnsi="Arial" w:cs="Arial"/>
          <w:b/>
          <w:snapToGrid w:val="0"/>
        </w:rPr>
        <w:t>§ 1º -</w:t>
      </w:r>
      <w:r w:rsidRPr="00112E2B">
        <w:rPr>
          <w:rFonts w:ascii="Arial" w:hAnsi="Arial" w:cs="Arial"/>
          <w:snapToGrid w:val="0"/>
        </w:rPr>
        <w:t xml:space="preserve"> As categorias econômicas estão assim detalhadas:</w:t>
      </w:r>
    </w:p>
    <w:p w:rsidR="00C16616" w:rsidRPr="00112E2B" w:rsidRDefault="00C16616" w:rsidP="00C16616">
      <w:pPr>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Despesas correntes - 3; e</w:t>
      </w:r>
    </w:p>
    <w:p w:rsidR="00C16616" w:rsidRPr="00112E2B" w:rsidRDefault="00C16616" w:rsidP="00C16616">
      <w:pPr>
        <w:jc w:val="both"/>
        <w:rPr>
          <w:rFonts w:ascii="Arial" w:hAnsi="Arial" w:cs="Arial"/>
          <w:snapToGrid w:val="0"/>
        </w:rPr>
      </w:pPr>
      <w:r w:rsidRPr="00112E2B">
        <w:rPr>
          <w:rFonts w:ascii="Arial" w:hAnsi="Arial" w:cs="Arial"/>
          <w:b/>
          <w:snapToGrid w:val="0"/>
        </w:rPr>
        <w:t xml:space="preserve">II </w:t>
      </w:r>
      <w:r w:rsidRPr="00112E2B">
        <w:rPr>
          <w:rFonts w:ascii="Arial" w:hAnsi="Arial" w:cs="Arial"/>
          <w:snapToGrid w:val="0"/>
        </w:rPr>
        <w:t>- Despesas de capital - 4.</w:t>
      </w:r>
    </w:p>
    <w:p w:rsidR="00C16616" w:rsidRPr="00112E2B" w:rsidRDefault="00C16616" w:rsidP="00C16616">
      <w:pPr>
        <w:jc w:val="both"/>
        <w:rPr>
          <w:rFonts w:ascii="Arial" w:hAnsi="Arial" w:cs="Arial"/>
          <w:snapToGrid w:val="0"/>
        </w:rPr>
      </w:pPr>
    </w:p>
    <w:p w:rsidR="00C16616" w:rsidRPr="00112E2B" w:rsidRDefault="00C16616" w:rsidP="00C16616">
      <w:pPr>
        <w:jc w:val="both"/>
        <w:rPr>
          <w:rFonts w:ascii="Arial" w:hAnsi="Arial" w:cs="Arial"/>
          <w:snapToGrid w:val="0"/>
        </w:rPr>
      </w:pPr>
      <w:r w:rsidRPr="00112E2B">
        <w:rPr>
          <w:rFonts w:ascii="Arial" w:hAnsi="Arial" w:cs="Arial"/>
          <w:b/>
          <w:snapToGrid w:val="0"/>
        </w:rPr>
        <w:t>§ 2º</w:t>
      </w:r>
      <w:r w:rsidRPr="00112E2B">
        <w:rPr>
          <w:rFonts w:ascii="Arial" w:hAnsi="Arial" w:cs="Arial"/>
          <w:snapToGrid w:val="0"/>
        </w:rPr>
        <w:t xml:space="preserve"> - Os grupos de natureza da despesa constituem agregação de elementos de despesa de mesmas características quanto ao objeto de gasto, conforme a seguir discriminados:</w:t>
      </w:r>
    </w:p>
    <w:p w:rsidR="00C16616" w:rsidRPr="00112E2B" w:rsidRDefault="00C16616" w:rsidP="00C16616">
      <w:pPr>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pessoal e encargos sociais - 1;</w:t>
      </w:r>
    </w:p>
    <w:p w:rsidR="00C16616" w:rsidRPr="00112E2B" w:rsidRDefault="00C16616" w:rsidP="00C16616">
      <w:pPr>
        <w:jc w:val="both"/>
        <w:rPr>
          <w:rFonts w:ascii="Arial" w:hAnsi="Arial" w:cs="Arial"/>
          <w:snapToGrid w:val="0"/>
        </w:rPr>
      </w:pPr>
      <w:r w:rsidRPr="00112E2B">
        <w:rPr>
          <w:rFonts w:ascii="Arial" w:hAnsi="Arial" w:cs="Arial"/>
          <w:b/>
          <w:snapToGrid w:val="0"/>
        </w:rPr>
        <w:t>II</w:t>
      </w:r>
      <w:r w:rsidRPr="00112E2B">
        <w:rPr>
          <w:rFonts w:ascii="Arial" w:hAnsi="Arial" w:cs="Arial"/>
          <w:snapToGrid w:val="0"/>
        </w:rPr>
        <w:t xml:space="preserve"> - juros e encargos da dívida - 2;</w:t>
      </w:r>
    </w:p>
    <w:p w:rsidR="00C16616" w:rsidRPr="00112E2B" w:rsidRDefault="00C16616" w:rsidP="00C16616">
      <w:pPr>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outras despesas correntes - 3;</w:t>
      </w:r>
    </w:p>
    <w:p w:rsidR="00C16616" w:rsidRPr="00112E2B" w:rsidRDefault="00C16616" w:rsidP="00C16616">
      <w:pPr>
        <w:jc w:val="both"/>
        <w:rPr>
          <w:rFonts w:ascii="Arial" w:hAnsi="Arial" w:cs="Arial"/>
          <w:snapToGrid w:val="0"/>
        </w:rPr>
      </w:pPr>
      <w:r w:rsidRPr="00112E2B">
        <w:rPr>
          <w:rFonts w:ascii="Arial" w:hAnsi="Arial" w:cs="Arial"/>
          <w:b/>
          <w:snapToGrid w:val="0"/>
        </w:rPr>
        <w:t xml:space="preserve">IV </w:t>
      </w:r>
      <w:r w:rsidRPr="00112E2B">
        <w:rPr>
          <w:rFonts w:ascii="Arial" w:hAnsi="Arial" w:cs="Arial"/>
          <w:snapToGrid w:val="0"/>
        </w:rPr>
        <w:t>- investimentos - 4;</w:t>
      </w:r>
    </w:p>
    <w:p w:rsidR="00C16616" w:rsidRPr="00112E2B" w:rsidRDefault="00C16616" w:rsidP="00C16616">
      <w:pPr>
        <w:jc w:val="both"/>
        <w:rPr>
          <w:rFonts w:ascii="Arial" w:hAnsi="Arial" w:cs="Arial"/>
          <w:snapToGrid w:val="0"/>
        </w:rPr>
      </w:pPr>
      <w:r w:rsidRPr="00112E2B">
        <w:rPr>
          <w:rFonts w:ascii="Arial" w:hAnsi="Arial" w:cs="Arial"/>
          <w:b/>
          <w:snapToGrid w:val="0"/>
        </w:rPr>
        <w:t>V</w:t>
      </w:r>
      <w:r w:rsidRPr="00112E2B">
        <w:rPr>
          <w:rFonts w:ascii="Arial" w:hAnsi="Arial" w:cs="Arial"/>
          <w:snapToGrid w:val="0"/>
        </w:rPr>
        <w:t xml:space="preserve"> - inversões financeiras - 5; e</w:t>
      </w:r>
    </w:p>
    <w:p w:rsidR="00C16616" w:rsidRPr="00112E2B" w:rsidRDefault="00C16616" w:rsidP="00C16616">
      <w:pPr>
        <w:jc w:val="both"/>
        <w:rPr>
          <w:rFonts w:ascii="Arial" w:hAnsi="Arial" w:cs="Arial"/>
          <w:snapToGrid w:val="0"/>
        </w:rPr>
      </w:pPr>
      <w:r w:rsidRPr="00112E2B">
        <w:rPr>
          <w:rFonts w:ascii="Arial" w:hAnsi="Arial" w:cs="Arial"/>
          <w:b/>
          <w:snapToGrid w:val="0"/>
        </w:rPr>
        <w:t xml:space="preserve">VI </w:t>
      </w:r>
      <w:r w:rsidRPr="00112E2B">
        <w:rPr>
          <w:rFonts w:ascii="Arial" w:hAnsi="Arial" w:cs="Arial"/>
          <w:snapToGrid w:val="0"/>
        </w:rPr>
        <w:t>- amortização da dívida - 6.</w:t>
      </w:r>
    </w:p>
    <w:p w:rsidR="00C16616" w:rsidRPr="00112E2B" w:rsidRDefault="00C16616" w:rsidP="00C16616">
      <w:pPr>
        <w:jc w:val="both"/>
        <w:rPr>
          <w:rFonts w:ascii="Arial" w:hAnsi="Arial" w:cs="Arial"/>
          <w:snapToGrid w:val="0"/>
        </w:rPr>
      </w:pP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rPr>
        <w:lastRenderedPageBreak/>
        <w:t>§ 3º</w:t>
      </w:r>
      <w:r w:rsidRPr="00112E2B">
        <w:rPr>
          <w:rFonts w:ascii="Arial" w:hAnsi="Arial" w:cs="Arial"/>
        </w:rPr>
        <w:t xml:space="preserve"> - A modalidade de aplicação destina-se a indicar se os recursos serão aplicados:</w:t>
      </w: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rPr>
        <w:t>I</w:t>
      </w:r>
      <w:r w:rsidRPr="00112E2B">
        <w:rPr>
          <w:rFonts w:ascii="Arial" w:hAnsi="Arial" w:cs="Arial"/>
        </w:rPr>
        <w:t xml:space="preserve"> - diretamente, pela unidade detentora do crédito orçamentário ou, mediante descentralização de crédito orçamentário, por outro órgão ou entidade integrante do Orçamento Fiscal ou da Seguridade Social;</w:t>
      </w: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rPr>
        <w:t>II</w:t>
      </w:r>
      <w:r w:rsidRPr="00112E2B">
        <w:rPr>
          <w:rFonts w:ascii="Arial" w:hAnsi="Arial" w:cs="Arial"/>
        </w:rPr>
        <w:t xml:space="preserve"> - indiretamente, mediante transferência financeira, por outras esferas de governo, seus órgãos, fundos ou entidades ou por entidades privadas sem fins lucrativos.</w:t>
      </w:r>
    </w:p>
    <w:p w:rsidR="00C16616" w:rsidRPr="00112E2B" w:rsidRDefault="00C16616" w:rsidP="00C16616">
      <w:pPr>
        <w:autoSpaceDE w:val="0"/>
        <w:autoSpaceDN w:val="0"/>
        <w:adjustRightInd w:val="0"/>
        <w:jc w:val="both"/>
        <w:rPr>
          <w:rFonts w:ascii="Arial" w:hAnsi="Arial" w:cs="Arial"/>
        </w:rPr>
      </w:pPr>
    </w:p>
    <w:p w:rsidR="00C16616" w:rsidRPr="00112E2B" w:rsidRDefault="00C16616" w:rsidP="00C16616">
      <w:pPr>
        <w:jc w:val="both"/>
        <w:rPr>
          <w:rFonts w:ascii="Arial" w:hAnsi="Arial" w:cs="Arial"/>
          <w:snapToGrid w:val="0"/>
        </w:rPr>
      </w:pPr>
      <w:r w:rsidRPr="00112E2B">
        <w:rPr>
          <w:rFonts w:ascii="Arial" w:hAnsi="Arial" w:cs="Arial"/>
          <w:b/>
        </w:rPr>
        <w:t>§ 4º</w:t>
      </w:r>
      <w:r w:rsidRPr="00112E2B">
        <w:rPr>
          <w:rFonts w:ascii="Arial" w:hAnsi="Arial" w:cs="Arial"/>
        </w:rPr>
        <w:t xml:space="preserve"> - Na especificação da modalidade </w:t>
      </w:r>
      <w:r w:rsidRPr="00112E2B">
        <w:rPr>
          <w:rFonts w:ascii="Arial" w:hAnsi="Arial" w:cs="Arial"/>
          <w:snapToGrid w:val="0"/>
        </w:rPr>
        <w:t xml:space="preserve">de aplicação </w:t>
      </w:r>
      <w:r w:rsidRPr="00112E2B">
        <w:rPr>
          <w:rFonts w:ascii="Arial" w:hAnsi="Arial" w:cs="Arial"/>
        </w:rPr>
        <w:t xml:space="preserve">de que trata o parágrafo anterior </w:t>
      </w:r>
      <w:r w:rsidRPr="00112E2B">
        <w:rPr>
          <w:rFonts w:ascii="Arial" w:hAnsi="Arial" w:cs="Arial"/>
          <w:snapToGrid w:val="0"/>
        </w:rPr>
        <w:t>será observado, no mínimo, o seguinte detalhamento:</w:t>
      </w:r>
    </w:p>
    <w:p w:rsidR="00C16616" w:rsidRPr="00112E2B" w:rsidRDefault="00C16616" w:rsidP="00C16616">
      <w:pPr>
        <w:pStyle w:val="Blockquote"/>
        <w:tabs>
          <w:tab w:val="num" w:pos="720"/>
        </w:tabs>
        <w:spacing w:before="0" w:after="0"/>
        <w:ind w:left="0" w:right="0"/>
        <w:jc w:val="both"/>
        <w:rPr>
          <w:rFonts w:ascii="Arial" w:hAnsi="Arial" w:cs="Arial"/>
          <w:szCs w:val="24"/>
        </w:rPr>
      </w:pPr>
      <w:r w:rsidRPr="00112E2B">
        <w:rPr>
          <w:rFonts w:ascii="Arial" w:hAnsi="Arial" w:cs="Arial"/>
          <w:b/>
          <w:szCs w:val="24"/>
        </w:rPr>
        <w:t>I</w:t>
      </w:r>
      <w:r w:rsidRPr="00112E2B">
        <w:rPr>
          <w:rFonts w:ascii="Arial" w:hAnsi="Arial" w:cs="Arial"/>
          <w:szCs w:val="24"/>
        </w:rPr>
        <w:t xml:space="preserve"> - transferências à União - 20;</w:t>
      </w:r>
    </w:p>
    <w:p w:rsidR="00C16616" w:rsidRPr="00112E2B" w:rsidRDefault="00C16616" w:rsidP="00C16616">
      <w:pPr>
        <w:pStyle w:val="Blockquote"/>
        <w:tabs>
          <w:tab w:val="num" w:pos="720"/>
        </w:tabs>
        <w:spacing w:before="0" w:after="0"/>
        <w:ind w:left="0" w:right="0"/>
        <w:jc w:val="both"/>
        <w:rPr>
          <w:rFonts w:ascii="Arial" w:hAnsi="Arial" w:cs="Arial"/>
          <w:szCs w:val="24"/>
        </w:rPr>
      </w:pPr>
      <w:r w:rsidRPr="00112E2B">
        <w:rPr>
          <w:rFonts w:ascii="Arial" w:hAnsi="Arial" w:cs="Arial"/>
          <w:b/>
          <w:szCs w:val="24"/>
        </w:rPr>
        <w:t>II</w:t>
      </w:r>
      <w:r w:rsidRPr="00112E2B">
        <w:rPr>
          <w:rFonts w:ascii="Arial" w:hAnsi="Arial" w:cs="Arial"/>
          <w:szCs w:val="24"/>
        </w:rPr>
        <w:t xml:space="preserve"> - transferências a Estados e ao Distrito Federal - 30;</w:t>
      </w:r>
    </w:p>
    <w:p w:rsidR="00C16616" w:rsidRPr="00112E2B" w:rsidRDefault="00C16616" w:rsidP="00C16616">
      <w:pPr>
        <w:pStyle w:val="Blockquote"/>
        <w:tabs>
          <w:tab w:val="num" w:pos="720"/>
        </w:tabs>
        <w:spacing w:before="0" w:after="0"/>
        <w:ind w:left="0" w:right="0"/>
        <w:jc w:val="both"/>
        <w:rPr>
          <w:rFonts w:ascii="Arial" w:hAnsi="Arial" w:cs="Arial"/>
          <w:szCs w:val="24"/>
        </w:rPr>
      </w:pPr>
      <w:r w:rsidRPr="00112E2B">
        <w:rPr>
          <w:rFonts w:ascii="Arial" w:hAnsi="Arial" w:cs="Arial"/>
          <w:b/>
          <w:szCs w:val="24"/>
        </w:rPr>
        <w:t>III</w:t>
      </w:r>
      <w:r w:rsidRPr="00112E2B">
        <w:rPr>
          <w:rFonts w:ascii="Arial" w:hAnsi="Arial" w:cs="Arial"/>
          <w:szCs w:val="24"/>
        </w:rPr>
        <w:t xml:space="preserve"> - transferências a instituições privadas sem fins lucrativos - 50;</w:t>
      </w:r>
    </w:p>
    <w:p w:rsidR="00C16616" w:rsidRPr="00112E2B" w:rsidRDefault="00C16616" w:rsidP="00C16616">
      <w:pPr>
        <w:pStyle w:val="Blockquote"/>
        <w:tabs>
          <w:tab w:val="num" w:pos="720"/>
        </w:tabs>
        <w:spacing w:before="0" w:after="0"/>
        <w:ind w:left="0" w:right="0"/>
        <w:jc w:val="both"/>
        <w:rPr>
          <w:rFonts w:ascii="Arial" w:hAnsi="Arial" w:cs="Arial"/>
          <w:szCs w:val="24"/>
        </w:rPr>
      </w:pPr>
      <w:r w:rsidRPr="00112E2B">
        <w:rPr>
          <w:rFonts w:ascii="Arial" w:hAnsi="Arial" w:cs="Arial"/>
          <w:b/>
          <w:szCs w:val="24"/>
        </w:rPr>
        <w:t>IV</w:t>
      </w:r>
      <w:r w:rsidRPr="00112E2B">
        <w:rPr>
          <w:rFonts w:ascii="Arial" w:hAnsi="Arial" w:cs="Arial"/>
          <w:szCs w:val="24"/>
        </w:rPr>
        <w:t xml:space="preserve"> - transferências a consórcios públicos - 71;</w:t>
      </w:r>
    </w:p>
    <w:p w:rsidR="00C16616" w:rsidRPr="00112E2B" w:rsidRDefault="00C16616" w:rsidP="00C16616">
      <w:pPr>
        <w:jc w:val="both"/>
        <w:rPr>
          <w:rFonts w:ascii="Arial" w:hAnsi="Arial" w:cs="Arial"/>
        </w:rPr>
      </w:pPr>
      <w:r w:rsidRPr="00112E2B">
        <w:rPr>
          <w:rFonts w:ascii="Arial" w:hAnsi="Arial" w:cs="Arial"/>
          <w:b/>
          <w:snapToGrid w:val="0"/>
        </w:rPr>
        <w:t>V</w:t>
      </w:r>
      <w:r w:rsidRPr="00112E2B">
        <w:rPr>
          <w:rFonts w:ascii="Arial" w:hAnsi="Arial" w:cs="Arial"/>
          <w:snapToGrid w:val="0"/>
        </w:rPr>
        <w:t xml:space="preserve"> - aplicações diretas - 90</w:t>
      </w:r>
      <w:r w:rsidRPr="00112E2B">
        <w:rPr>
          <w:rFonts w:ascii="Arial" w:hAnsi="Arial" w:cs="Arial"/>
        </w:rPr>
        <w:t>; e</w:t>
      </w:r>
    </w:p>
    <w:p w:rsidR="00C16616" w:rsidRPr="00112E2B" w:rsidRDefault="00C16616" w:rsidP="00C16616">
      <w:pPr>
        <w:jc w:val="both"/>
        <w:rPr>
          <w:rFonts w:ascii="Arial" w:hAnsi="Arial" w:cs="Arial"/>
        </w:rPr>
      </w:pPr>
    </w:p>
    <w:p w:rsidR="00C16616" w:rsidRPr="00112E2B" w:rsidRDefault="00C16616" w:rsidP="00C16616">
      <w:pPr>
        <w:jc w:val="both"/>
        <w:rPr>
          <w:rFonts w:ascii="Arial" w:hAnsi="Arial" w:cs="Arial"/>
          <w:snapToGrid w:val="0"/>
        </w:rPr>
      </w:pPr>
      <w:r w:rsidRPr="00112E2B">
        <w:rPr>
          <w:rFonts w:ascii="Arial" w:hAnsi="Arial" w:cs="Arial"/>
          <w:b/>
          <w:snapToGrid w:val="0"/>
        </w:rPr>
        <w:t>§ 5º</w:t>
      </w:r>
      <w:r w:rsidRPr="00112E2B">
        <w:rPr>
          <w:rFonts w:ascii="Arial" w:hAnsi="Arial" w:cs="Arial"/>
          <w:snapToGrid w:val="0"/>
        </w:rPr>
        <w:t xml:space="preserve"> - A especificação da despesa será apresentada por unidade orçamentária até o nível de elemento de despesa.</w:t>
      </w:r>
    </w:p>
    <w:p w:rsidR="00C16616" w:rsidRPr="00112E2B" w:rsidRDefault="00C16616" w:rsidP="00C16616">
      <w:pPr>
        <w:jc w:val="both"/>
        <w:rPr>
          <w:rFonts w:ascii="Arial" w:hAnsi="Arial" w:cs="Arial"/>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Artigo 11 -</w:t>
      </w:r>
      <w:r w:rsidRPr="00112E2B">
        <w:rPr>
          <w:rFonts w:ascii="Arial" w:hAnsi="Arial" w:cs="Arial"/>
          <w:snapToGrid w:val="0"/>
        </w:rPr>
        <w:t xml:space="preserve"> A Reserva de Contingência prevista no Artigo 35 desta lei será identificada pelo dígito 9 (nove) no que se refere à categoria econômica, ao grupo de natureza da despesa, à modalidade de aplicação, ao elemento de despesa e à fonte de recursos.</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12 - </w:t>
      </w:r>
      <w:r w:rsidRPr="00112E2B">
        <w:rPr>
          <w:rFonts w:ascii="Arial" w:hAnsi="Arial" w:cs="Arial"/>
          <w:snapToGrid w:val="0"/>
        </w:rPr>
        <w:t>A Lei Orçamentária discriminará em programas de trabalho específicos as dotações destinadas:</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ao pagamento de precatórios judiciais, inclusive o cumprimento de sentenças judiciais transitadas em julgado consideradas de pequeno valor; e</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r w:rsidRPr="00112E2B">
        <w:rPr>
          <w:rFonts w:ascii="Arial" w:hAnsi="Arial" w:cs="Arial"/>
          <w:b/>
          <w:snapToGrid w:val="0"/>
        </w:rPr>
        <w:t>II</w:t>
      </w:r>
      <w:r w:rsidRPr="00112E2B">
        <w:rPr>
          <w:rFonts w:ascii="Arial" w:hAnsi="Arial" w:cs="Arial"/>
          <w:snapToGrid w:val="0"/>
        </w:rPr>
        <w:t xml:space="preserve"> - ao pagamento dos juros, encargos e amortização da dívida fundada.</w:t>
      </w: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p>
    <w:p w:rsidR="00C16616" w:rsidRPr="00112E2B" w:rsidRDefault="00C16616" w:rsidP="00C16616">
      <w:pPr>
        <w:widowControl w:val="0"/>
        <w:tabs>
          <w:tab w:val="left" w:pos="709"/>
          <w:tab w:val="left" w:pos="1008"/>
          <w:tab w:val="left" w:pos="1728"/>
          <w:tab w:val="left" w:pos="2448"/>
          <w:tab w:val="left" w:pos="3168"/>
          <w:tab w:val="left" w:pos="3888"/>
          <w:tab w:val="left" w:pos="4608"/>
          <w:tab w:val="left" w:pos="5328"/>
          <w:tab w:val="left" w:pos="6048"/>
          <w:tab w:val="left" w:pos="6768"/>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13 - </w:t>
      </w:r>
      <w:r w:rsidRPr="00112E2B">
        <w:rPr>
          <w:rFonts w:ascii="Arial" w:hAnsi="Arial" w:cs="Arial"/>
          <w:snapToGrid w:val="0"/>
        </w:rPr>
        <w:t>Fica o Poder Executivo autorizado a incorporar, na elaboração dos Orçamentos, as eventuais modificações ocorridas na estrutura organizacional do Município bem como na classificação orçamentária da receita e da despesa, por alterações na legislação federal ocorridas após o encaminhamento da Lei de Diretrizes Orçamentárias para 2025 ao Poder Legislativo.</w:t>
      </w:r>
    </w:p>
    <w:p w:rsidR="00C16616" w:rsidRPr="00112E2B" w:rsidRDefault="00C16616" w:rsidP="00C16616">
      <w:pPr>
        <w:widowControl w:val="0"/>
        <w:tabs>
          <w:tab w:val="left" w:pos="2268"/>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14 - </w:t>
      </w:r>
      <w:r w:rsidRPr="00112E2B">
        <w:rPr>
          <w:rFonts w:ascii="Arial" w:hAnsi="Arial" w:cs="Arial"/>
          <w:snapToGrid w:val="0"/>
        </w:rPr>
        <w:t>A mensagem que encaminhar o projeto de lei orçamentária conterá:</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jc w:val="both"/>
        <w:rPr>
          <w:rFonts w:ascii="Arial" w:hAnsi="Arial" w:cs="Arial"/>
        </w:rPr>
      </w:pPr>
      <w:r w:rsidRPr="00112E2B">
        <w:rPr>
          <w:rFonts w:ascii="Arial" w:hAnsi="Arial" w:cs="Arial"/>
          <w:b/>
        </w:rPr>
        <w:t>I</w:t>
      </w:r>
      <w:r w:rsidRPr="00112E2B">
        <w:rPr>
          <w:rFonts w:ascii="Arial" w:hAnsi="Arial" w:cs="Arial"/>
        </w:rPr>
        <w:t xml:space="preserve"> - o demonstrativo do cumprimento da legislação que dispõe sobre a aplicação de recursos resultantes de impostos na manutenção e o desenvolvimento do ensino;</w:t>
      </w:r>
    </w:p>
    <w:p w:rsidR="00C16616" w:rsidRPr="00112E2B" w:rsidRDefault="00C16616" w:rsidP="00C16616">
      <w:pPr>
        <w:widowControl w:val="0"/>
        <w:jc w:val="both"/>
        <w:rPr>
          <w:rFonts w:ascii="Arial" w:hAnsi="Arial" w:cs="Arial"/>
        </w:rPr>
      </w:pPr>
      <w:r w:rsidRPr="00112E2B">
        <w:rPr>
          <w:rFonts w:ascii="Arial" w:hAnsi="Arial" w:cs="Arial"/>
          <w:b/>
        </w:rPr>
        <w:t xml:space="preserve">II </w:t>
      </w:r>
      <w:r w:rsidRPr="00112E2B">
        <w:rPr>
          <w:rFonts w:ascii="Arial" w:hAnsi="Arial" w:cs="Arial"/>
        </w:rPr>
        <w:t xml:space="preserve">- o demonstrativo que dispõe sobre a aplicação de recursos resultantes de impostos em saúde, em cumprimento à Emenda Constitucional </w:t>
      </w:r>
      <w:r w:rsidRPr="00112E2B">
        <w:rPr>
          <w:rFonts w:ascii="Arial" w:hAnsi="Arial" w:cs="Arial"/>
          <w:snapToGrid w:val="0"/>
        </w:rPr>
        <w:t>nº</w:t>
      </w:r>
      <w:r w:rsidRPr="00112E2B">
        <w:rPr>
          <w:rFonts w:ascii="Arial" w:hAnsi="Arial" w:cs="Arial"/>
        </w:rPr>
        <w:t xml:space="preserve"> 29/2000; </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a discriminação da dívida pública total acumulada.</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15 - </w:t>
      </w:r>
      <w:r w:rsidRPr="00112E2B">
        <w:rPr>
          <w:rFonts w:ascii="Arial" w:hAnsi="Arial" w:cs="Arial"/>
          <w:snapToGrid w:val="0"/>
        </w:rPr>
        <w:t>O Projeto de Lei Orçamentária que o Poder Executivo encaminhará à Câmara Municipal constituir-se-á de:</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texto da lei;</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II</w:t>
      </w:r>
      <w:r w:rsidRPr="00112E2B">
        <w:rPr>
          <w:rFonts w:ascii="Arial" w:hAnsi="Arial" w:cs="Arial"/>
          <w:snapToGrid w:val="0"/>
        </w:rPr>
        <w:t xml:space="preserve"> - quadros orçamentários consolidados;</w:t>
      </w:r>
    </w:p>
    <w:p w:rsidR="00C16616" w:rsidRPr="00112E2B" w:rsidRDefault="00C16616" w:rsidP="00C16616">
      <w:pPr>
        <w:widowControl w:val="0"/>
        <w:tabs>
          <w:tab w:val="left" w:pos="851"/>
        </w:tabs>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anexo do Orçamento Fiscal e da Seguridade Social discriminando a receita e a despesa na forma definida nesta lei.</w:t>
      </w:r>
    </w:p>
    <w:p w:rsidR="00C16616" w:rsidRPr="00112E2B" w:rsidRDefault="00C16616" w:rsidP="00C16616">
      <w:pPr>
        <w:widowControl w:val="0"/>
        <w:tabs>
          <w:tab w:val="left" w:pos="851"/>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Parágrafo único</w:t>
      </w:r>
      <w:r w:rsidRPr="00112E2B">
        <w:rPr>
          <w:rFonts w:ascii="Arial" w:hAnsi="Arial" w:cs="Arial"/>
          <w:snapToGrid w:val="0"/>
        </w:rPr>
        <w:t xml:space="preserve"> - Integrarão o Orçamento Fiscal, todos os quadros previstos no inciso III, do Artigo 22, da Lei Federal nº 4.320, de 17 de março de 1964.</w:t>
      </w:r>
    </w:p>
    <w:p w:rsidR="00C16616" w:rsidRPr="00112E2B" w:rsidRDefault="00C16616" w:rsidP="00C16616">
      <w:pPr>
        <w:widowControl w:val="0"/>
        <w:jc w:val="both"/>
        <w:rPr>
          <w:rFonts w:ascii="Arial" w:hAnsi="Arial" w:cs="Arial"/>
          <w:snapToGrid w:val="0"/>
        </w:rPr>
      </w:pP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CAPÍTULO III</w:t>
      </w: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DIRETRIZES ESPECÍFICAS PARA O PODER LEGISLATIVO</w:t>
      </w:r>
    </w:p>
    <w:p w:rsidR="00C16616" w:rsidRPr="00112E2B" w:rsidRDefault="00C16616" w:rsidP="00C16616">
      <w:pPr>
        <w:jc w:val="both"/>
        <w:rPr>
          <w:rFonts w:ascii="Arial" w:hAnsi="Arial" w:cs="Arial"/>
          <w:b/>
        </w:rPr>
      </w:pPr>
    </w:p>
    <w:p w:rsidR="00C16616" w:rsidRPr="00112E2B" w:rsidRDefault="00C16616" w:rsidP="00C16616">
      <w:pPr>
        <w:tabs>
          <w:tab w:val="left" w:pos="1418"/>
        </w:tabs>
        <w:jc w:val="both"/>
        <w:rPr>
          <w:rFonts w:ascii="Arial" w:hAnsi="Arial" w:cs="Arial"/>
        </w:rPr>
      </w:pPr>
      <w:r w:rsidRPr="00112E2B">
        <w:rPr>
          <w:rFonts w:ascii="Arial" w:hAnsi="Arial" w:cs="Arial"/>
          <w:b/>
        </w:rPr>
        <w:t xml:space="preserve">Artigo 16 - </w:t>
      </w:r>
      <w:r w:rsidRPr="00112E2B">
        <w:rPr>
          <w:rFonts w:ascii="Arial" w:hAnsi="Arial" w:cs="Arial"/>
        </w:rPr>
        <w:t xml:space="preserve">O total da despesa do Poder Legislativo Municipal, incluídos os subsídios dos Vereadores, não poderá ultrapassar o percentual de sete por cento, relativo ao somatório da receita tributária com as transferências previstas no § 5º, do Artigo 153, e nos </w:t>
      </w:r>
      <w:proofErr w:type="spellStart"/>
      <w:r w:rsidRPr="00112E2B">
        <w:rPr>
          <w:rFonts w:ascii="Arial" w:hAnsi="Arial" w:cs="Arial"/>
        </w:rPr>
        <w:t>arts</w:t>
      </w:r>
      <w:proofErr w:type="spellEnd"/>
      <w:r w:rsidRPr="00112E2B">
        <w:rPr>
          <w:rFonts w:ascii="Arial" w:hAnsi="Arial" w:cs="Arial"/>
        </w:rPr>
        <w:t>. 158 e 159, da Constituição Federal/88, efetivamente realizado no exercício anterior, em conformidade com a Emenda Constitucional nº 25/2000.</w:t>
      </w:r>
    </w:p>
    <w:p w:rsidR="00C16616" w:rsidRPr="00112E2B" w:rsidRDefault="00C16616" w:rsidP="00C16616">
      <w:pPr>
        <w:jc w:val="both"/>
        <w:rPr>
          <w:rFonts w:ascii="Arial" w:hAnsi="Arial" w:cs="Arial"/>
          <w:b/>
        </w:rPr>
      </w:pPr>
    </w:p>
    <w:p w:rsidR="00C16616" w:rsidRPr="00112E2B" w:rsidRDefault="00C16616" w:rsidP="00C16616">
      <w:pPr>
        <w:jc w:val="both"/>
        <w:rPr>
          <w:rFonts w:ascii="Arial" w:hAnsi="Arial" w:cs="Arial"/>
        </w:rPr>
      </w:pPr>
      <w:r w:rsidRPr="00112E2B">
        <w:rPr>
          <w:rFonts w:ascii="Arial" w:hAnsi="Arial" w:cs="Arial"/>
          <w:b/>
        </w:rPr>
        <w:t xml:space="preserve">Parágrafo único - </w:t>
      </w:r>
      <w:r w:rsidRPr="00112E2B">
        <w:rPr>
          <w:rFonts w:ascii="Arial" w:hAnsi="Arial" w:cs="Arial"/>
        </w:rPr>
        <w:t>O desembolso dos recursos financeiros consignados à Câmara Municipal, será feito até o dia 20 de cada mês, sob a forma de duodécimos, ou de comum acordo entre os poderes.</w:t>
      </w:r>
    </w:p>
    <w:p w:rsidR="00C16616" w:rsidRPr="00112E2B" w:rsidRDefault="00C16616" w:rsidP="00C16616">
      <w:pPr>
        <w:jc w:val="both"/>
        <w:rPr>
          <w:rFonts w:ascii="Arial" w:hAnsi="Arial" w:cs="Arial"/>
        </w:rPr>
      </w:pPr>
    </w:p>
    <w:p w:rsidR="00C16616" w:rsidRPr="00112E2B" w:rsidRDefault="00C16616" w:rsidP="00C16616">
      <w:pPr>
        <w:tabs>
          <w:tab w:val="left" w:pos="1418"/>
        </w:tabs>
        <w:jc w:val="both"/>
        <w:rPr>
          <w:rFonts w:ascii="Arial" w:hAnsi="Arial" w:cs="Arial"/>
        </w:rPr>
      </w:pPr>
      <w:r w:rsidRPr="00112E2B">
        <w:rPr>
          <w:rFonts w:ascii="Arial" w:hAnsi="Arial" w:cs="Arial"/>
          <w:b/>
        </w:rPr>
        <w:t xml:space="preserve">Artigo 17 - </w:t>
      </w:r>
      <w:r w:rsidRPr="00112E2B">
        <w:rPr>
          <w:rFonts w:ascii="Arial" w:hAnsi="Arial" w:cs="Arial"/>
        </w:rPr>
        <w:t>O Poder Legislativo encaminhará ao Poder Executivo sua proposta orçamentária, para fins de consolidação, até o dia 30 de julho do corrente exercício, observadas as disposições desta lei.</w:t>
      </w:r>
    </w:p>
    <w:p w:rsidR="00C16616" w:rsidRPr="00112E2B" w:rsidRDefault="00C16616" w:rsidP="00C16616">
      <w:pPr>
        <w:jc w:val="both"/>
        <w:rPr>
          <w:rFonts w:ascii="Arial" w:hAnsi="Arial" w:cs="Arial"/>
        </w:rPr>
      </w:pP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CAPÍTULO IV</w:t>
      </w: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DIRETRIZES GERAIS PARA A ELABORAÇÃO E A EXECUÇÃO DOS ORÇAMENTOS DO MUNICÍPIO E SUAS ALTERAÇÕES</w:t>
      </w:r>
    </w:p>
    <w:p w:rsidR="00C16616" w:rsidRPr="00112E2B" w:rsidRDefault="00C16616" w:rsidP="00C16616">
      <w:pPr>
        <w:keepNext/>
        <w:widowControl w:val="0"/>
        <w:jc w:val="both"/>
        <w:rPr>
          <w:rFonts w:ascii="Arial" w:hAnsi="Arial" w:cs="Arial"/>
          <w:b/>
          <w:snapToGrid w:val="0"/>
        </w:rPr>
      </w:pP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SEÇÃO I</w:t>
      </w: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Diretrizes Gerais</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18 - </w:t>
      </w:r>
      <w:r w:rsidRPr="00112E2B">
        <w:rPr>
          <w:rFonts w:ascii="Arial" w:hAnsi="Arial" w:cs="Arial"/>
          <w:snapToGrid w:val="0"/>
        </w:rPr>
        <w:t>A elaboração do projeto de lei, a aprovação e a execução da Lei Orçamentária de 2025 deverão ser realizadas de modo a evidenciar a transparência da gestão fiscal, observando-se o princípio da publicidade e permitindo o amplo acesso da sociedade a todas as informações relativas a cada uma dessas etapas, bem como deverão levar em conta a obtenção dos resultados previstos no Anexo de Metas Fiscais que integra a presente lei, além dos parâmetros da Receita Corrente Líquida, visando ao equilíbrio orçamentário-financeiro.</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Será dada ampla divulgação, inclusive em meios eletrônicos de acesso público:</w:t>
      </w: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xml:space="preserve">- pelo Poder Legislativo, no que lhe couber, os instrumentos de gestão previstos no </w:t>
      </w:r>
      <w:r w:rsidRPr="00112E2B">
        <w:rPr>
          <w:rFonts w:ascii="Arial" w:hAnsi="Arial" w:cs="Arial"/>
          <w:i/>
          <w:snapToGrid w:val="0"/>
        </w:rPr>
        <w:t>caput</w:t>
      </w:r>
      <w:r w:rsidRPr="00112E2B">
        <w:rPr>
          <w:rFonts w:ascii="Arial" w:hAnsi="Arial" w:cs="Arial"/>
          <w:snapToGrid w:val="0"/>
        </w:rPr>
        <w:t xml:space="preserve"> do Artigo 48 da Lei Complementar nº 101/2000 - LRF</w:t>
      </w:r>
      <w:r w:rsidRPr="00112E2B">
        <w:rPr>
          <w:rFonts w:ascii="Arial" w:hAnsi="Arial" w:cs="Arial"/>
          <w:b/>
          <w:snapToGrid w:val="0"/>
        </w:rPr>
        <w:t>.</w:t>
      </w: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II </w:t>
      </w:r>
      <w:r w:rsidRPr="00112E2B">
        <w:rPr>
          <w:rFonts w:ascii="Arial" w:hAnsi="Arial" w:cs="Arial"/>
          <w:snapToGrid w:val="0"/>
        </w:rPr>
        <w:t>- pelo Poder Executivo:</w:t>
      </w:r>
    </w:p>
    <w:p w:rsidR="00C16616" w:rsidRPr="00112E2B" w:rsidRDefault="00C16616" w:rsidP="00C16616">
      <w:pPr>
        <w:widowControl w:val="0"/>
        <w:numPr>
          <w:ilvl w:val="0"/>
          <w:numId w:val="1"/>
        </w:numPr>
        <w:tabs>
          <w:tab w:val="clear" w:pos="2205"/>
          <w:tab w:val="num" w:pos="360"/>
          <w:tab w:val="left" w:pos="1980"/>
        </w:tabs>
        <w:ind w:left="0" w:firstLine="0"/>
        <w:jc w:val="both"/>
        <w:rPr>
          <w:rFonts w:ascii="Arial" w:hAnsi="Arial" w:cs="Arial"/>
          <w:snapToGrid w:val="0"/>
        </w:rPr>
      </w:pPr>
      <w:r w:rsidRPr="00112E2B">
        <w:rPr>
          <w:rFonts w:ascii="Arial" w:hAnsi="Arial" w:cs="Arial"/>
          <w:snapToGrid w:val="0"/>
        </w:rPr>
        <w:t>A Lei Orçamentária Anual e seus anexos;</w:t>
      </w:r>
    </w:p>
    <w:p w:rsidR="00C16616" w:rsidRPr="00112E2B" w:rsidRDefault="00C16616" w:rsidP="00C16616">
      <w:pPr>
        <w:widowControl w:val="0"/>
        <w:numPr>
          <w:ilvl w:val="0"/>
          <w:numId w:val="1"/>
        </w:numPr>
        <w:tabs>
          <w:tab w:val="clear" w:pos="2205"/>
          <w:tab w:val="num" w:pos="360"/>
          <w:tab w:val="left" w:pos="1980"/>
        </w:tabs>
        <w:ind w:left="0" w:firstLine="0"/>
        <w:jc w:val="both"/>
        <w:rPr>
          <w:rFonts w:ascii="Arial" w:hAnsi="Arial" w:cs="Arial"/>
          <w:snapToGrid w:val="0"/>
        </w:rPr>
      </w:pPr>
      <w:r w:rsidRPr="00112E2B">
        <w:rPr>
          <w:rFonts w:ascii="Arial" w:hAnsi="Arial" w:cs="Arial"/>
          <w:snapToGrid w:val="0"/>
        </w:rPr>
        <w:t>As alterações orçamentárias realizadas mediante a abertura de Créditos Adicionais;</w:t>
      </w:r>
    </w:p>
    <w:p w:rsidR="00C16616" w:rsidRPr="00112E2B" w:rsidRDefault="00C16616" w:rsidP="00C16616">
      <w:pPr>
        <w:widowControl w:val="0"/>
        <w:numPr>
          <w:ilvl w:val="0"/>
          <w:numId w:val="1"/>
        </w:numPr>
        <w:tabs>
          <w:tab w:val="clear" w:pos="2205"/>
          <w:tab w:val="num" w:pos="360"/>
          <w:tab w:val="left" w:pos="1980"/>
        </w:tabs>
        <w:ind w:left="0" w:firstLine="0"/>
        <w:jc w:val="both"/>
        <w:rPr>
          <w:rFonts w:ascii="Arial" w:hAnsi="Arial" w:cs="Arial"/>
          <w:snapToGrid w:val="0"/>
        </w:rPr>
      </w:pPr>
      <w:r w:rsidRPr="00112E2B">
        <w:rPr>
          <w:rFonts w:ascii="Arial" w:hAnsi="Arial" w:cs="Arial"/>
          <w:snapToGrid w:val="0"/>
        </w:rPr>
        <w:t>O Relatório Resumido da Execução Orçamentária; e</w:t>
      </w:r>
    </w:p>
    <w:p w:rsidR="00C16616" w:rsidRPr="00112E2B" w:rsidRDefault="00C16616" w:rsidP="00C16616">
      <w:pPr>
        <w:widowControl w:val="0"/>
        <w:numPr>
          <w:ilvl w:val="0"/>
          <w:numId w:val="1"/>
        </w:numPr>
        <w:tabs>
          <w:tab w:val="clear" w:pos="2205"/>
          <w:tab w:val="num" w:pos="360"/>
          <w:tab w:val="left" w:pos="1980"/>
        </w:tabs>
        <w:ind w:left="0" w:firstLine="0"/>
        <w:jc w:val="both"/>
        <w:rPr>
          <w:rFonts w:ascii="Arial" w:hAnsi="Arial" w:cs="Arial"/>
          <w:snapToGrid w:val="0"/>
        </w:rPr>
      </w:pPr>
      <w:r w:rsidRPr="00112E2B">
        <w:rPr>
          <w:rFonts w:ascii="Arial" w:hAnsi="Arial" w:cs="Arial"/>
          <w:snapToGrid w:val="0"/>
        </w:rPr>
        <w:t>O Relatório de Gestão Fiscal.</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 2º </w:t>
      </w:r>
      <w:r w:rsidRPr="00112E2B">
        <w:rPr>
          <w:rFonts w:ascii="Arial" w:hAnsi="Arial" w:cs="Arial"/>
          <w:snapToGrid w:val="0"/>
        </w:rPr>
        <w:t xml:space="preserve">Para o efetivo cumprimento da transparência na gestão fiscal de que trata o </w:t>
      </w:r>
      <w:r w:rsidRPr="00112E2B">
        <w:rPr>
          <w:rFonts w:ascii="Arial" w:hAnsi="Arial" w:cs="Arial"/>
          <w:i/>
          <w:snapToGrid w:val="0"/>
        </w:rPr>
        <w:t>caput</w:t>
      </w:r>
      <w:r w:rsidRPr="00112E2B">
        <w:rPr>
          <w:rFonts w:ascii="Arial" w:hAnsi="Arial" w:cs="Arial"/>
          <w:snapToGrid w:val="0"/>
        </w:rPr>
        <w:t xml:space="preserve"> deste artigo, o Poder Executivo, por meio da Secretaria de Fazenda e/ou da Assessoria de Planejamento e do Órgão de Controle Interno do Município, deverá:</w:t>
      </w:r>
    </w:p>
    <w:p w:rsidR="00C16616" w:rsidRPr="00112E2B" w:rsidRDefault="00C16616" w:rsidP="00C16616">
      <w:pPr>
        <w:widowControl w:val="0"/>
        <w:tabs>
          <w:tab w:val="left" w:pos="851"/>
        </w:tabs>
        <w:jc w:val="both"/>
        <w:rPr>
          <w:rFonts w:ascii="Arial" w:hAnsi="Arial" w:cs="Arial"/>
          <w:snapToGrid w:val="0"/>
        </w:rPr>
      </w:pPr>
      <w:r w:rsidRPr="00112E2B">
        <w:rPr>
          <w:rFonts w:ascii="Arial" w:hAnsi="Arial" w:cs="Arial"/>
          <w:b/>
          <w:snapToGrid w:val="0"/>
        </w:rPr>
        <w:lastRenderedPageBreak/>
        <w:t>I</w:t>
      </w:r>
      <w:r w:rsidRPr="00112E2B">
        <w:rPr>
          <w:rFonts w:ascii="Arial" w:hAnsi="Arial" w:cs="Arial"/>
          <w:snapToGrid w:val="0"/>
        </w:rPr>
        <w:t xml:space="preserve"> - manter atualizado o endereço eletrônico, de livre acesso a todo cidadão, com os instrumentos de gestão descritos no </w:t>
      </w:r>
      <w:r w:rsidRPr="00112E2B">
        <w:rPr>
          <w:rFonts w:ascii="Arial" w:hAnsi="Arial" w:cs="Arial"/>
          <w:i/>
          <w:snapToGrid w:val="0"/>
        </w:rPr>
        <w:t xml:space="preserve">caput </w:t>
      </w:r>
      <w:r w:rsidRPr="00112E2B">
        <w:rPr>
          <w:rFonts w:ascii="Arial" w:hAnsi="Arial" w:cs="Arial"/>
          <w:snapToGrid w:val="0"/>
        </w:rPr>
        <w:t>do Artigo 48 da Lei Complementar nº 101/2000 - LRF; e</w:t>
      </w:r>
    </w:p>
    <w:p w:rsidR="00C16616" w:rsidRPr="00112E2B" w:rsidRDefault="00C16616" w:rsidP="00C16616">
      <w:pPr>
        <w:widowControl w:val="0"/>
        <w:tabs>
          <w:tab w:val="left" w:pos="851"/>
        </w:tabs>
        <w:jc w:val="both"/>
        <w:rPr>
          <w:rFonts w:ascii="Arial" w:hAnsi="Arial" w:cs="Arial"/>
          <w:snapToGrid w:val="0"/>
        </w:rPr>
      </w:pPr>
      <w:r w:rsidRPr="00112E2B">
        <w:rPr>
          <w:rFonts w:ascii="Arial" w:hAnsi="Arial" w:cs="Arial"/>
          <w:b/>
          <w:snapToGrid w:val="0"/>
        </w:rPr>
        <w:t>II</w:t>
      </w:r>
      <w:r w:rsidRPr="00112E2B">
        <w:rPr>
          <w:rFonts w:ascii="Arial" w:hAnsi="Arial" w:cs="Arial"/>
          <w:snapToGrid w:val="0"/>
        </w:rPr>
        <w:t xml:space="preserve"> - providenciar as medidas previstas no </w:t>
      </w:r>
      <w:r w:rsidRPr="00112E2B">
        <w:rPr>
          <w:rFonts w:ascii="Arial" w:hAnsi="Arial" w:cs="Arial"/>
        </w:rPr>
        <w:t xml:space="preserve">inciso II, do </w:t>
      </w:r>
      <w:r w:rsidRPr="00112E2B">
        <w:rPr>
          <w:rFonts w:ascii="Arial" w:hAnsi="Arial" w:cs="Arial"/>
          <w:snapToGrid w:val="0"/>
        </w:rPr>
        <w:t>§ 1º, deste artigo, a partir da execução da Lei Orçamentária Anual, do exercício de 2025, e nos prazos definidos pela Lei Complementar nº 101/2000 - LRF.</w:t>
      </w:r>
    </w:p>
    <w:p w:rsidR="00C16616" w:rsidRPr="00112E2B" w:rsidRDefault="00C16616" w:rsidP="00C16616">
      <w:pPr>
        <w:widowControl w:val="0"/>
        <w:tabs>
          <w:tab w:val="left" w:pos="851"/>
        </w:tabs>
        <w:jc w:val="both"/>
        <w:rPr>
          <w:rFonts w:ascii="Arial" w:hAnsi="Arial" w:cs="Arial"/>
          <w:snapToGrid w:val="0"/>
        </w:rPr>
      </w:pPr>
    </w:p>
    <w:p w:rsidR="00C16616" w:rsidRPr="00112E2B" w:rsidRDefault="00C16616" w:rsidP="00C16616">
      <w:pPr>
        <w:tabs>
          <w:tab w:val="left" w:pos="1418"/>
        </w:tabs>
        <w:autoSpaceDE w:val="0"/>
        <w:autoSpaceDN w:val="0"/>
        <w:adjustRightInd w:val="0"/>
        <w:jc w:val="both"/>
        <w:rPr>
          <w:rFonts w:ascii="Arial" w:hAnsi="Arial" w:cs="Arial"/>
        </w:rPr>
      </w:pPr>
      <w:r w:rsidRPr="00112E2B">
        <w:rPr>
          <w:rFonts w:ascii="Arial" w:hAnsi="Arial" w:cs="Arial"/>
          <w:b/>
          <w:snapToGrid w:val="0"/>
        </w:rPr>
        <w:t>Artigo 19 -</w:t>
      </w:r>
      <w:r w:rsidRPr="00112E2B">
        <w:rPr>
          <w:rFonts w:ascii="Arial" w:hAnsi="Arial" w:cs="Arial"/>
        </w:rPr>
        <w:t>As estimativas de receitas serão feitas com a observância estrita das normas técnicas e legais e considerarão os efeitos das alterações na legislação, da variação dos índices de preços, do crescimento econômico ou de qualquer outro fator relevante.</w:t>
      </w:r>
    </w:p>
    <w:p w:rsidR="00C16616" w:rsidRPr="00112E2B" w:rsidRDefault="00C16616" w:rsidP="00C16616">
      <w:pPr>
        <w:widowControl w:val="0"/>
        <w:tabs>
          <w:tab w:val="left" w:pos="851"/>
        </w:tabs>
        <w:jc w:val="both"/>
        <w:rPr>
          <w:rFonts w:ascii="Arial" w:hAnsi="Arial" w:cs="Arial"/>
          <w:snapToGrid w:val="0"/>
        </w:rPr>
      </w:pPr>
    </w:p>
    <w:p w:rsidR="00C16616" w:rsidRPr="00112E2B" w:rsidRDefault="00C16616" w:rsidP="00C16616">
      <w:pPr>
        <w:tabs>
          <w:tab w:val="left" w:pos="1418"/>
        </w:tabs>
        <w:jc w:val="both"/>
        <w:rPr>
          <w:rFonts w:ascii="Arial" w:hAnsi="Arial" w:cs="Arial"/>
        </w:rPr>
      </w:pPr>
      <w:r w:rsidRPr="00112E2B">
        <w:rPr>
          <w:rFonts w:ascii="Arial" w:hAnsi="Arial" w:cs="Arial"/>
          <w:b/>
          <w:snapToGrid w:val="0"/>
        </w:rPr>
        <w:t xml:space="preserve">Artigo 20 - </w:t>
      </w:r>
      <w:r w:rsidRPr="00112E2B">
        <w:rPr>
          <w:rFonts w:ascii="Arial" w:hAnsi="Arial" w:cs="Arial"/>
        </w:rPr>
        <w:t>O Poder Executivo, sob a coordenação da Assessoria de Planejamento e Secretaria de Fazenda, deverá elaborar e publicar a programação financeira e o cronograma de execução mensal de desembolso, nos termos do Artigo 8º da Lei Complementar nº 101/2000 - LRF, visando ao cumprimento da meta de resultado primário estabelecida nesta lei.</w:t>
      </w:r>
    </w:p>
    <w:p w:rsidR="00C16616" w:rsidRPr="00112E2B" w:rsidRDefault="00C16616" w:rsidP="00C16616">
      <w:pPr>
        <w:jc w:val="both"/>
        <w:rPr>
          <w:rFonts w:ascii="Arial" w:hAnsi="Arial" w:cs="Arial"/>
        </w:rPr>
      </w:pPr>
      <w:r w:rsidRPr="00112E2B">
        <w:rPr>
          <w:rFonts w:ascii="Arial" w:hAnsi="Arial" w:cs="Arial"/>
          <w:b/>
        </w:rPr>
        <w:t>§ 1º</w:t>
      </w:r>
      <w:r w:rsidRPr="00112E2B">
        <w:rPr>
          <w:rFonts w:ascii="Arial" w:hAnsi="Arial" w:cs="Arial"/>
        </w:rPr>
        <w:t xml:space="preserve"> - O Poder Legislativo deverá enviar ao Poder Executivo, até dez dias após a publicação da Lei Orçamentária para 2025, a programação de desembolso mensal para o referido exercício.</w:t>
      </w:r>
    </w:p>
    <w:p w:rsidR="00C16616" w:rsidRPr="00112E2B" w:rsidRDefault="00C16616" w:rsidP="00C16616">
      <w:pPr>
        <w:jc w:val="both"/>
        <w:rPr>
          <w:rFonts w:ascii="Arial" w:hAnsi="Arial" w:cs="Arial"/>
        </w:rPr>
      </w:pPr>
    </w:p>
    <w:p w:rsidR="00C16616" w:rsidRPr="00112E2B" w:rsidRDefault="00C16616" w:rsidP="00C16616">
      <w:pPr>
        <w:jc w:val="both"/>
        <w:rPr>
          <w:rFonts w:ascii="Arial" w:hAnsi="Arial" w:cs="Arial"/>
        </w:rPr>
      </w:pPr>
      <w:r w:rsidRPr="00112E2B">
        <w:rPr>
          <w:rFonts w:ascii="Arial" w:hAnsi="Arial" w:cs="Arial"/>
          <w:b/>
        </w:rPr>
        <w:t>§ 2º</w:t>
      </w:r>
      <w:r w:rsidRPr="00112E2B">
        <w:rPr>
          <w:rFonts w:ascii="Arial" w:hAnsi="Arial" w:cs="Arial"/>
        </w:rPr>
        <w:t xml:space="preserve"> - O Poder Executivo publicará a programação financeira e o cronograma de execução mensal de desembolso até trinta dias após a publicação da Lei Orçamentária de 2025.</w:t>
      </w:r>
    </w:p>
    <w:p w:rsidR="00C16616" w:rsidRPr="00112E2B" w:rsidRDefault="00C16616" w:rsidP="00C16616">
      <w:pPr>
        <w:jc w:val="both"/>
        <w:rPr>
          <w:rFonts w:ascii="Arial" w:hAnsi="Arial" w:cs="Arial"/>
          <w:b/>
          <w:snapToGrid w:val="0"/>
        </w:rPr>
      </w:pPr>
    </w:p>
    <w:p w:rsidR="00C16616" w:rsidRPr="00112E2B" w:rsidRDefault="00C16616" w:rsidP="00C16616">
      <w:pPr>
        <w:tabs>
          <w:tab w:val="left" w:pos="1418"/>
        </w:tabs>
        <w:jc w:val="both"/>
        <w:rPr>
          <w:rFonts w:ascii="Arial" w:hAnsi="Arial" w:cs="Arial"/>
          <w:snapToGrid w:val="0"/>
        </w:rPr>
      </w:pPr>
      <w:r w:rsidRPr="00112E2B">
        <w:rPr>
          <w:rFonts w:ascii="Arial" w:hAnsi="Arial" w:cs="Arial"/>
          <w:b/>
          <w:snapToGrid w:val="0"/>
        </w:rPr>
        <w:t xml:space="preserve">Artigo 21 - </w:t>
      </w:r>
      <w:r w:rsidRPr="00112E2B">
        <w:rPr>
          <w:rFonts w:ascii="Arial" w:hAnsi="Arial" w:cs="Arial"/>
        </w:rPr>
        <w:t>No prazo previsto no artigo anterior desta lei, o Poder Executivo, sob a coordenação da Assessoria de Planejamento e Secretaria de Fazenda, deverá publicar as receitas previstas, desdobradas em metas bimestrais, juntamente com as medidas de combate à evasão e à sonegação, bem como as quantidades e os valores das ações ajuizadas para cobrança da dívida ativa e o montante dos créditos tributários passíveis de cobrança administrativa, nos termos do Artigo 13, da Lei Complementar nº 101/2000 - LRF</w:t>
      </w:r>
      <w:r w:rsidRPr="00112E2B">
        <w:rPr>
          <w:rFonts w:ascii="Arial" w:hAnsi="Arial" w:cs="Arial"/>
          <w:snapToGrid w:val="0"/>
        </w:rPr>
        <w:t>.</w:t>
      </w:r>
    </w:p>
    <w:p w:rsidR="00C16616" w:rsidRPr="00112E2B" w:rsidRDefault="00C16616" w:rsidP="00C16616">
      <w:pPr>
        <w:tabs>
          <w:tab w:val="left" w:pos="1418"/>
        </w:tabs>
        <w:jc w:val="both"/>
        <w:rPr>
          <w:rFonts w:ascii="Arial" w:hAnsi="Arial" w:cs="Arial"/>
          <w:snapToGrid w:val="0"/>
        </w:rPr>
      </w:pPr>
    </w:p>
    <w:p w:rsidR="00C16616" w:rsidRPr="00112E2B" w:rsidRDefault="00C16616" w:rsidP="00C16616">
      <w:pPr>
        <w:pStyle w:val="Recuodecorpodetexto"/>
        <w:tabs>
          <w:tab w:val="left" w:pos="1418"/>
        </w:tabs>
        <w:ind w:left="0"/>
        <w:jc w:val="both"/>
        <w:rPr>
          <w:rFonts w:ascii="Arial" w:hAnsi="Arial" w:cs="Arial"/>
        </w:rPr>
      </w:pPr>
      <w:r w:rsidRPr="00112E2B">
        <w:rPr>
          <w:rFonts w:ascii="Arial" w:hAnsi="Arial" w:cs="Arial"/>
          <w:b/>
          <w:snapToGrid w:val="0"/>
        </w:rPr>
        <w:t>Artigo 22 -</w:t>
      </w:r>
      <w:r w:rsidRPr="00112E2B">
        <w:rPr>
          <w:rFonts w:ascii="Arial" w:hAnsi="Arial" w:cs="Arial"/>
          <w:snapToGrid w:val="0"/>
        </w:rPr>
        <w:t xml:space="preserve"> Se for v</w:t>
      </w:r>
      <w:r w:rsidRPr="00112E2B">
        <w:rPr>
          <w:rFonts w:ascii="Arial" w:hAnsi="Arial" w:cs="Arial"/>
        </w:rPr>
        <w:t>erificado, ao final de um bimestre, que a execução das despesas foi superior à realização das receitas, o Poder Legislativo e o Poder Executivo promoverão, por ato próprio e nos montantes necessários, nos trinta dias subsequentes, a limitação de empenho e de movimentação financeira.</w:t>
      </w:r>
    </w:p>
    <w:p w:rsidR="00C16616" w:rsidRPr="00112E2B" w:rsidRDefault="00C16616" w:rsidP="00C16616">
      <w:pPr>
        <w:pStyle w:val="Recuodecorpodetexto"/>
        <w:tabs>
          <w:tab w:val="left" w:pos="1418"/>
        </w:tabs>
        <w:spacing w:after="0"/>
        <w:ind w:left="0"/>
        <w:jc w:val="both"/>
        <w:rPr>
          <w:rFonts w:ascii="Arial" w:hAnsi="Arial" w:cs="Arial"/>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Caso haja necessidade, a limitação do empenho das dotações orçamentárias e da movimentação financeira para o cumprimento do disposto no Artigo 9º, da Lei Complementar nº 101/2000 - LRF, visando atingir as metas fiscais previstas no Anexo de Metas Fiscais - Metas Anuais, desta lei, será feita de forma proporcional ao montante dos recursos alocados para o atendimento de Outras Despesas Correntes, Investimentos e Inversões Financeiras, de cada Poder, excluídas as despesas que constituem obrigação constitucional ou legal de execução.</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 2º - </w:t>
      </w:r>
      <w:r w:rsidRPr="00112E2B">
        <w:rPr>
          <w:rFonts w:ascii="Arial" w:hAnsi="Arial" w:cs="Arial"/>
          <w:snapToGrid w:val="0"/>
        </w:rPr>
        <w:t xml:space="preserve">Na hipótese da ocorrência do disposto no </w:t>
      </w:r>
      <w:r w:rsidRPr="00112E2B">
        <w:rPr>
          <w:rFonts w:ascii="Arial" w:hAnsi="Arial" w:cs="Arial"/>
          <w:i/>
          <w:snapToGrid w:val="0"/>
        </w:rPr>
        <w:t>caput</w:t>
      </w:r>
      <w:r w:rsidRPr="00112E2B">
        <w:rPr>
          <w:rFonts w:ascii="Arial" w:hAnsi="Arial" w:cs="Arial"/>
          <w:snapToGrid w:val="0"/>
        </w:rPr>
        <w:t xml:space="preserve"> deste artigo, o Poder Executivo comunicará ao Poder Legislativo o montante que caberá a cada um tornar indisponível para empenho e movimentação financeira.</w:t>
      </w:r>
    </w:p>
    <w:p w:rsidR="00C16616" w:rsidRPr="00112E2B" w:rsidRDefault="00C16616" w:rsidP="00C16616">
      <w:pPr>
        <w:widowControl w:val="0"/>
        <w:tabs>
          <w:tab w:val="left" w:pos="2410"/>
        </w:tabs>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23 - </w:t>
      </w:r>
      <w:r w:rsidRPr="00112E2B">
        <w:rPr>
          <w:rFonts w:ascii="Arial" w:hAnsi="Arial" w:cs="Arial"/>
          <w:snapToGrid w:val="0"/>
        </w:rPr>
        <w:t xml:space="preserve">Além de observar as diretrizes estabelecidas nesta lei, a alocação dos recursos na Lei Orçamentária e em seus créditos adicionais será feita de forma a </w:t>
      </w:r>
      <w:r w:rsidRPr="00112E2B">
        <w:rPr>
          <w:rFonts w:ascii="Arial" w:hAnsi="Arial" w:cs="Arial"/>
          <w:snapToGrid w:val="0"/>
        </w:rPr>
        <w:lastRenderedPageBreak/>
        <w:t>propiciar o controle dos custos das ações e a avaliação dos resultados dos Programas de Governo.</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24 - </w:t>
      </w:r>
      <w:r w:rsidRPr="00112E2B">
        <w:rPr>
          <w:rFonts w:ascii="Arial" w:hAnsi="Arial" w:cs="Arial"/>
          <w:snapToGrid w:val="0"/>
        </w:rPr>
        <w:t>As propostas parciais dos Poderes Legislativo e Executivo, bem como as de seus Órgãos e Fundos Municipais serão elaboradas segundo os preços vigentes no mês de julho de 2024.</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tabs>
          <w:tab w:val="left" w:pos="1418"/>
        </w:tabs>
        <w:autoSpaceDE w:val="0"/>
        <w:autoSpaceDN w:val="0"/>
        <w:adjustRightInd w:val="0"/>
        <w:jc w:val="both"/>
        <w:rPr>
          <w:rFonts w:ascii="Arial" w:hAnsi="Arial" w:cs="Arial"/>
        </w:rPr>
      </w:pPr>
      <w:r w:rsidRPr="00112E2B">
        <w:rPr>
          <w:rFonts w:ascii="Arial" w:hAnsi="Arial" w:cs="Arial"/>
          <w:b/>
          <w:snapToGrid w:val="0"/>
        </w:rPr>
        <w:t xml:space="preserve">Artigo 25 - </w:t>
      </w:r>
      <w:r w:rsidRPr="00112E2B">
        <w:rPr>
          <w:rFonts w:ascii="Arial" w:hAnsi="Arial" w:cs="Arial"/>
        </w:rPr>
        <w:t>A Lei Orçamentária não consignará recursos para início de novos projetos sem antes ter assegurado recursos suficientes para obras ou etapas de obras em andamento e para conservação do patrimônio público, salvo projetos programados com recursos de convênios e operações de crédito.</w:t>
      </w:r>
    </w:p>
    <w:p w:rsidR="00C16616" w:rsidRPr="00112E2B" w:rsidRDefault="00C16616" w:rsidP="00C16616">
      <w:pPr>
        <w:tabs>
          <w:tab w:val="left" w:pos="1418"/>
        </w:tabs>
        <w:autoSpaceDE w:val="0"/>
        <w:autoSpaceDN w:val="0"/>
        <w:adjustRightInd w:val="0"/>
        <w:jc w:val="both"/>
        <w:rPr>
          <w:rFonts w:ascii="Arial" w:hAnsi="Arial" w:cs="Arial"/>
          <w:snapToGrid w:val="0"/>
        </w:rPr>
      </w:pPr>
      <w:r w:rsidRPr="00112E2B">
        <w:rPr>
          <w:rFonts w:ascii="Arial" w:hAnsi="Arial" w:cs="Arial"/>
          <w:b/>
          <w:snapToGrid w:val="0"/>
        </w:rPr>
        <w:t xml:space="preserve">Artigo 26 - </w:t>
      </w:r>
      <w:r w:rsidRPr="00112E2B">
        <w:rPr>
          <w:rFonts w:ascii="Arial" w:hAnsi="Arial" w:cs="Arial"/>
          <w:snapToGrid w:val="0"/>
        </w:rPr>
        <w:t>É obrigatória a destinação de recursos para compor contrapartida de transferências voluntárias efetuadas pela União e pelo Estado, bem como de empréstimos internos e externos e para o pagamento de sinal, de amortização, de juros e de outros encargos, observado o cronograma de desembolso da respectiva operação.</w:t>
      </w:r>
    </w:p>
    <w:p w:rsidR="00C16616" w:rsidRPr="00112E2B" w:rsidRDefault="00C16616" w:rsidP="00C16616">
      <w:pPr>
        <w:tabs>
          <w:tab w:val="left" w:pos="1418"/>
        </w:tabs>
        <w:autoSpaceDE w:val="0"/>
        <w:autoSpaceDN w:val="0"/>
        <w:adjustRightInd w:val="0"/>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Parágrafo único - </w:t>
      </w:r>
      <w:r w:rsidRPr="00112E2B">
        <w:rPr>
          <w:rFonts w:ascii="Arial" w:hAnsi="Arial" w:cs="Arial"/>
          <w:snapToGrid w:val="0"/>
        </w:rPr>
        <w:t>Somente serão incluídas, na proposta orçamentária anual, dotações relativas às operações de crédito contratadas ou autorizadas pelo Legislativo Municipal até 30 de junho do corrente exercício financeiro.</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27 - </w:t>
      </w:r>
      <w:r w:rsidRPr="00112E2B">
        <w:rPr>
          <w:rFonts w:ascii="Arial" w:hAnsi="Arial" w:cs="Arial"/>
          <w:snapToGrid w:val="0"/>
        </w:rPr>
        <w:t>A Procuradoria Jurídica do Município encaminhará à Assessoria Municipal de Planejamento, até 15 de julho do corrente exercício financeiro, a relação dos débitos decorrentes de precatórios judiciários inscritos até 1º de julho de 2024 a serem incluídos na proposta orçamentária de 2025 devidamente atualizados, conforme determinado pelo § 1º, do Artigo 100, da Constituição Federal/88, e discriminada conforme detalhamento constante do Artigo 12 desta lei, especificando:</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jc w:val="both"/>
        <w:rPr>
          <w:rFonts w:ascii="Arial" w:hAnsi="Arial" w:cs="Arial"/>
          <w:snapToGrid w:val="0"/>
        </w:rPr>
      </w:pPr>
      <w:r w:rsidRPr="00112E2B">
        <w:rPr>
          <w:rFonts w:ascii="Arial" w:hAnsi="Arial" w:cs="Arial"/>
          <w:b/>
          <w:snapToGrid w:val="0"/>
        </w:rPr>
        <w:t>I</w:t>
      </w:r>
      <w:r w:rsidRPr="00112E2B">
        <w:rPr>
          <w:rFonts w:ascii="Arial" w:hAnsi="Arial" w:cs="Arial"/>
          <w:snapToGrid w:val="0"/>
        </w:rPr>
        <w:t xml:space="preserve"> - número e data do ajuizamento da ação originária;</w:t>
      </w:r>
    </w:p>
    <w:p w:rsidR="00C16616" w:rsidRPr="00112E2B" w:rsidRDefault="00C16616" w:rsidP="00C16616">
      <w:pPr>
        <w:jc w:val="both"/>
        <w:rPr>
          <w:rFonts w:ascii="Arial" w:hAnsi="Arial" w:cs="Arial"/>
          <w:snapToGrid w:val="0"/>
        </w:rPr>
      </w:pPr>
      <w:r w:rsidRPr="00112E2B">
        <w:rPr>
          <w:rFonts w:ascii="Arial" w:hAnsi="Arial" w:cs="Arial"/>
          <w:b/>
          <w:snapToGrid w:val="0"/>
        </w:rPr>
        <w:t>II</w:t>
      </w:r>
      <w:r w:rsidRPr="00112E2B">
        <w:rPr>
          <w:rFonts w:ascii="Arial" w:hAnsi="Arial" w:cs="Arial"/>
          <w:snapToGrid w:val="0"/>
        </w:rPr>
        <w:t xml:space="preserve"> - número do precatório;</w:t>
      </w:r>
    </w:p>
    <w:p w:rsidR="00C16616" w:rsidRPr="00112E2B" w:rsidRDefault="00C16616" w:rsidP="00C16616">
      <w:pPr>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tipo da causa julgada (de acordo com a origem da despesa);</w:t>
      </w:r>
    </w:p>
    <w:p w:rsidR="00C16616" w:rsidRPr="00112E2B" w:rsidRDefault="00C16616" w:rsidP="00C16616">
      <w:pPr>
        <w:jc w:val="both"/>
        <w:rPr>
          <w:rFonts w:ascii="Arial" w:hAnsi="Arial" w:cs="Arial"/>
          <w:snapToGrid w:val="0"/>
        </w:rPr>
      </w:pPr>
      <w:r w:rsidRPr="00112E2B">
        <w:rPr>
          <w:rFonts w:ascii="Arial" w:hAnsi="Arial" w:cs="Arial"/>
          <w:b/>
          <w:snapToGrid w:val="0"/>
        </w:rPr>
        <w:t>IV</w:t>
      </w:r>
      <w:r w:rsidRPr="00112E2B">
        <w:rPr>
          <w:rFonts w:ascii="Arial" w:hAnsi="Arial" w:cs="Arial"/>
          <w:snapToGrid w:val="0"/>
        </w:rPr>
        <w:t xml:space="preserve"> - enquadramento (alimentar ou não - alimentar);</w:t>
      </w:r>
    </w:p>
    <w:p w:rsidR="00C16616" w:rsidRPr="00112E2B" w:rsidRDefault="00C16616" w:rsidP="00C16616">
      <w:pPr>
        <w:jc w:val="both"/>
        <w:rPr>
          <w:rFonts w:ascii="Arial" w:hAnsi="Arial" w:cs="Arial"/>
          <w:snapToGrid w:val="0"/>
        </w:rPr>
      </w:pPr>
      <w:r w:rsidRPr="00112E2B">
        <w:rPr>
          <w:rFonts w:ascii="Arial" w:hAnsi="Arial" w:cs="Arial"/>
          <w:b/>
          <w:snapToGrid w:val="0"/>
        </w:rPr>
        <w:t>V</w:t>
      </w:r>
      <w:r w:rsidRPr="00112E2B">
        <w:rPr>
          <w:rFonts w:ascii="Arial" w:hAnsi="Arial" w:cs="Arial"/>
          <w:snapToGrid w:val="0"/>
        </w:rPr>
        <w:t xml:space="preserve"> - data da autuação do precatório;</w:t>
      </w:r>
    </w:p>
    <w:p w:rsidR="00C16616" w:rsidRPr="00112E2B" w:rsidRDefault="00C16616" w:rsidP="00C16616">
      <w:pPr>
        <w:jc w:val="both"/>
        <w:rPr>
          <w:rFonts w:ascii="Arial" w:hAnsi="Arial" w:cs="Arial"/>
          <w:snapToGrid w:val="0"/>
        </w:rPr>
      </w:pPr>
      <w:r w:rsidRPr="00112E2B">
        <w:rPr>
          <w:rFonts w:ascii="Arial" w:hAnsi="Arial" w:cs="Arial"/>
          <w:b/>
          <w:snapToGrid w:val="0"/>
        </w:rPr>
        <w:t>VI</w:t>
      </w:r>
      <w:r w:rsidRPr="00112E2B">
        <w:rPr>
          <w:rFonts w:ascii="Arial" w:hAnsi="Arial" w:cs="Arial"/>
          <w:snapToGrid w:val="0"/>
        </w:rPr>
        <w:t xml:space="preserve"> - nome do beneficiário;</w:t>
      </w:r>
    </w:p>
    <w:p w:rsidR="00C16616" w:rsidRPr="00112E2B" w:rsidRDefault="00C16616" w:rsidP="00C16616">
      <w:pPr>
        <w:jc w:val="both"/>
        <w:rPr>
          <w:rFonts w:ascii="Arial" w:hAnsi="Arial" w:cs="Arial"/>
          <w:snapToGrid w:val="0"/>
        </w:rPr>
      </w:pPr>
      <w:r w:rsidRPr="00112E2B">
        <w:rPr>
          <w:rFonts w:ascii="Arial" w:hAnsi="Arial" w:cs="Arial"/>
          <w:b/>
          <w:snapToGrid w:val="0"/>
        </w:rPr>
        <w:t>VII</w:t>
      </w:r>
      <w:r w:rsidRPr="00112E2B">
        <w:rPr>
          <w:rFonts w:ascii="Arial" w:hAnsi="Arial" w:cs="Arial"/>
          <w:snapToGrid w:val="0"/>
        </w:rPr>
        <w:t xml:space="preserve"> - valor do precatório a ser pago;</w:t>
      </w:r>
    </w:p>
    <w:p w:rsidR="00C16616" w:rsidRPr="00112E2B" w:rsidRDefault="00C16616" w:rsidP="00C16616">
      <w:pPr>
        <w:jc w:val="both"/>
        <w:rPr>
          <w:rFonts w:ascii="Arial" w:hAnsi="Arial" w:cs="Arial"/>
          <w:snapToGrid w:val="0"/>
        </w:rPr>
      </w:pPr>
      <w:r w:rsidRPr="00112E2B">
        <w:rPr>
          <w:rFonts w:ascii="Arial" w:hAnsi="Arial" w:cs="Arial"/>
          <w:b/>
          <w:snapToGrid w:val="0"/>
        </w:rPr>
        <w:t>VIII</w:t>
      </w:r>
      <w:r w:rsidRPr="00112E2B">
        <w:rPr>
          <w:rFonts w:ascii="Arial" w:hAnsi="Arial" w:cs="Arial"/>
          <w:snapToGrid w:val="0"/>
        </w:rPr>
        <w:t xml:space="preserve"> - data do trânsito em julgado; e</w:t>
      </w:r>
    </w:p>
    <w:p w:rsidR="00C16616" w:rsidRPr="00112E2B" w:rsidRDefault="00C16616" w:rsidP="00C16616">
      <w:pPr>
        <w:jc w:val="both"/>
        <w:rPr>
          <w:rFonts w:ascii="Arial" w:hAnsi="Arial" w:cs="Arial"/>
          <w:snapToGrid w:val="0"/>
        </w:rPr>
      </w:pPr>
      <w:r w:rsidRPr="00112E2B">
        <w:rPr>
          <w:rFonts w:ascii="Arial" w:hAnsi="Arial" w:cs="Arial"/>
          <w:b/>
          <w:snapToGrid w:val="0"/>
        </w:rPr>
        <w:t xml:space="preserve">IX </w:t>
      </w:r>
      <w:r w:rsidRPr="00112E2B">
        <w:rPr>
          <w:rFonts w:ascii="Arial" w:hAnsi="Arial" w:cs="Arial"/>
          <w:snapToGrid w:val="0"/>
        </w:rPr>
        <w:t>- número da vara ou comarca de origem.</w:t>
      </w:r>
    </w:p>
    <w:p w:rsidR="00C16616" w:rsidRPr="00112E2B" w:rsidRDefault="00C16616" w:rsidP="00C16616">
      <w:pPr>
        <w:jc w:val="both"/>
        <w:rPr>
          <w:rFonts w:ascii="Arial" w:hAnsi="Arial" w:cs="Arial"/>
          <w:snapToGrid w:val="0"/>
        </w:rPr>
      </w:pPr>
    </w:p>
    <w:p w:rsidR="00C16616" w:rsidRPr="00112E2B" w:rsidRDefault="00C16616" w:rsidP="00C16616">
      <w:pPr>
        <w:jc w:val="both"/>
        <w:rPr>
          <w:rFonts w:ascii="Arial" w:hAnsi="Arial" w:cs="Arial"/>
        </w:rPr>
      </w:pPr>
      <w:r w:rsidRPr="00112E2B">
        <w:rPr>
          <w:rFonts w:ascii="Arial" w:hAnsi="Arial" w:cs="Arial"/>
          <w:b/>
        </w:rPr>
        <w:t>Parágrafo único -</w:t>
      </w:r>
      <w:r w:rsidRPr="00112E2B">
        <w:rPr>
          <w:rFonts w:ascii="Arial" w:hAnsi="Arial" w:cs="Arial"/>
        </w:rPr>
        <w:t xml:space="preserve"> A atualização monetária dos precatórios, determinada no § 1º, do Artigo 100, da Constituição Federal/88 e das parcelas resultantes observará, no exercício de 2025</w:t>
      </w:r>
      <w:r w:rsidRPr="00112E2B">
        <w:rPr>
          <w:rFonts w:ascii="Arial" w:hAnsi="Arial" w:cs="Arial"/>
          <w:color w:val="FF0000"/>
        </w:rPr>
        <w:t xml:space="preserve">, </w:t>
      </w:r>
      <w:r w:rsidRPr="00112E2B">
        <w:rPr>
          <w:rFonts w:ascii="Arial" w:hAnsi="Arial" w:cs="Arial"/>
        </w:rPr>
        <w:t xml:space="preserve">os índices adotados pelo Poder Judiciário respectivos. </w:t>
      </w:r>
    </w:p>
    <w:p w:rsidR="00C16616" w:rsidRPr="00112E2B" w:rsidRDefault="00C16616" w:rsidP="00C16616">
      <w:pPr>
        <w:tabs>
          <w:tab w:val="left" w:pos="1418"/>
        </w:tabs>
        <w:jc w:val="both"/>
        <w:rPr>
          <w:rFonts w:ascii="Arial" w:hAnsi="Arial" w:cs="Arial"/>
          <w:b/>
          <w:snapToGrid w:val="0"/>
        </w:rPr>
      </w:pPr>
    </w:p>
    <w:p w:rsidR="00C16616" w:rsidRPr="00112E2B" w:rsidRDefault="00C16616" w:rsidP="00C16616">
      <w:pPr>
        <w:tabs>
          <w:tab w:val="left" w:pos="1418"/>
        </w:tabs>
        <w:jc w:val="both"/>
        <w:rPr>
          <w:rFonts w:ascii="Arial" w:hAnsi="Arial" w:cs="Arial"/>
          <w:snapToGrid w:val="0"/>
        </w:rPr>
      </w:pPr>
      <w:r w:rsidRPr="00112E2B">
        <w:rPr>
          <w:rFonts w:ascii="Arial" w:hAnsi="Arial" w:cs="Arial"/>
          <w:b/>
          <w:snapToGrid w:val="0"/>
        </w:rPr>
        <w:t xml:space="preserve">Artigo 28 - </w:t>
      </w:r>
      <w:r w:rsidRPr="00112E2B">
        <w:rPr>
          <w:rFonts w:ascii="Arial" w:hAnsi="Arial" w:cs="Arial"/>
        </w:rPr>
        <w:t xml:space="preserve">As </w:t>
      </w:r>
      <w:r w:rsidRPr="00112E2B">
        <w:rPr>
          <w:rFonts w:ascii="Arial" w:hAnsi="Arial" w:cs="Arial"/>
          <w:snapToGrid w:val="0"/>
        </w:rPr>
        <w:t>obras já iniciadas terão prioridade na alocação dos recursos para a sua continuidade e/ou conclusão.</w:t>
      </w:r>
    </w:p>
    <w:p w:rsidR="00C16616" w:rsidRPr="00112E2B" w:rsidRDefault="00C16616" w:rsidP="00C16616">
      <w:pPr>
        <w:tabs>
          <w:tab w:val="left" w:pos="1418"/>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29 - </w:t>
      </w:r>
      <w:r w:rsidRPr="00112E2B">
        <w:rPr>
          <w:rFonts w:ascii="Arial" w:hAnsi="Arial" w:cs="Arial"/>
          <w:snapToGrid w:val="0"/>
        </w:rPr>
        <w:t>O controle de custos e a avaliação de resultados previstos no inciso I, alínea “e”, do Artigo 4º e no § 3º, do Artigo 50, da Lei Complementar nº 101/2000 - LRF, serão realizados pelo Órgão de Controle Interno do Município.</w:t>
      </w:r>
    </w:p>
    <w:p w:rsidR="00C16616" w:rsidRPr="00112E2B" w:rsidRDefault="00C16616" w:rsidP="00C16616">
      <w:pPr>
        <w:widowControl w:val="0"/>
        <w:jc w:val="both"/>
        <w:rPr>
          <w:rFonts w:ascii="Arial" w:hAnsi="Arial" w:cs="Arial"/>
          <w:snapToGrid w:val="0"/>
        </w:rPr>
      </w:pP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lastRenderedPageBreak/>
        <w:t>SEÇÃO II</w:t>
      </w: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Diretrizes Específicas do Orçamento Fiscal</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30 - </w:t>
      </w:r>
      <w:r w:rsidRPr="00112E2B">
        <w:rPr>
          <w:rFonts w:ascii="Arial" w:hAnsi="Arial" w:cs="Arial"/>
          <w:snapToGrid w:val="0"/>
        </w:rPr>
        <w:t>O Orçamento Fiscal estimará as receitas efetivas e potenciais de recolhimento centralizado do Tesouro Municipal e fixarão as despesas dos Poderes Legislativo e Executivo bem como as de seus Órgãos e Fundos Municipais, de modo a evidenciar as políticas e programas de governo, respeitados os princípios da unidade, da universalidade, da anualidade, da exclusividade, da publicidade e da legalidade.</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31 - </w:t>
      </w:r>
      <w:r w:rsidRPr="00112E2B">
        <w:rPr>
          <w:rFonts w:ascii="Arial" w:hAnsi="Arial" w:cs="Arial"/>
          <w:snapToGrid w:val="0"/>
        </w:rPr>
        <w:t>É vedada a realização de operações de crédito que excedam o montante das despesas de capital, ressalvadas as autorizadas mediante créditos adicionais suplementares ou especiais com finalidade precisa.</w:t>
      </w:r>
    </w:p>
    <w:p w:rsidR="00C16616" w:rsidRPr="00112E2B" w:rsidRDefault="00C16616" w:rsidP="00C16616">
      <w:pPr>
        <w:widowControl w:val="0"/>
        <w:tabs>
          <w:tab w:val="left" w:pos="2410"/>
        </w:tabs>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32 - </w:t>
      </w:r>
      <w:r w:rsidRPr="00112E2B">
        <w:rPr>
          <w:rFonts w:ascii="Arial" w:hAnsi="Arial" w:cs="Arial"/>
          <w:snapToGrid w:val="0"/>
        </w:rPr>
        <w:t>Na estimativa da receita e na fixação da despesa serão considerados:</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w:t>
      </w:r>
      <w:r w:rsidRPr="00112E2B">
        <w:rPr>
          <w:rFonts w:ascii="Arial" w:hAnsi="Arial" w:cs="Arial"/>
          <w:snapToGrid w:val="0"/>
        </w:rPr>
        <w:t xml:space="preserve"> - os fatores conjunturais que possam vir a influenciar a produtividade;</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II </w:t>
      </w:r>
      <w:r w:rsidRPr="00112E2B">
        <w:rPr>
          <w:rFonts w:ascii="Arial" w:hAnsi="Arial" w:cs="Arial"/>
          <w:snapToGrid w:val="0"/>
        </w:rPr>
        <w:t>- o aumento ou diminuição dos serviços prestados, a tendência do exercício; e</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as alterações tributárias.</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33 - </w:t>
      </w:r>
      <w:r w:rsidRPr="00112E2B">
        <w:rPr>
          <w:rFonts w:ascii="Arial" w:hAnsi="Arial" w:cs="Arial"/>
          <w:snapToGrid w:val="0"/>
        </w:rPr>
        <w:t>O Município aplicará, no mínimo, 25% de sua receita resultante de impostos, compreendida a proveniente de transferências constitucionais, na manutenção e no desenvolvimento do ensino, conforme dispõe o Artigo 212 da Constituição Federal/88.</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34 - </w:t>
      </w:r>
      <w:r w:rsidRPr="00112E2B">
        <w:rPr>
          <w:rFonts w:ascii="Arial" w:hAnsi="Arial" w:cs="Arial"/>
          <w:snapToGrid w:val="0"/>
        </w:rPr>
        <w:t>O Município aplicará, no mínimo, 15% em ações e serviços públicos de saúde, conforme disposto no inciso III, do Artigo 7º, da Emenda Constitucional nº 29/2000 e no inciso III, do Artigo 77, do Ato das Disposições Constitucionais Transitórias da Constituição Federal/88.</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35 - </w:t>
      </w:r>
      <w:r w:rsidRPr="00112E2B">
        <w:rPr>
          <w:rFonts w:ascii="Arial" w:hAnsi="Arial" w:cs="Arial"/>
          <w:snapToGrid w:val="0"/>
        </w:rPr>
        <w:t>A Lei Orçamentária conterá Reserva de Contingência no valor até meio por cento da Receita Corrente Líquida, destinada a atender aos passivos contingentes e a outros riscos e eventos fiscais imprevistos, conforme previsto no inciso III, do Artigo 5º da Lei Complementar nº 101/2000 - LRF.</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rPr>
      </w:pPr>
      <w:r w:rsidRPr="00112E2B">
        <w:rPr>
          <w:rFonts w:ascii="Arial" w:hAnsi="Arial" w:cs="Arial"/>
          <w:b/>
        </w:rPr>
        <w:t>Parágrafo Único -</w:t>
      </w:r>
      <w:r w:rsidRPr="00112E2B">
        <w:rPr>
          <w:rFonts w:ascii="Arial" w:hAnsi="Arial" w:cs="Arial"/>
        </w:rPr>
        <w:t xml:space="preserve"> Caso não seja necessária à utilização da Reserva de Contingência para sua finalidade, no todo ou em parte, até o mês de setembro, o saldo remanescente poderá ser utilizado apenas para abertura de créditos adicionais suplementares e especiais destinados à prestação de serviços públicos de assistência social, saúde e educação e ao pagamento de juros, encargos e amortização da dívida pública.</w:t>
      </w:r>
    </w:p>
    <w:p w:rsidR="00C16616" w:rsidRPr="00112E2B" w:rsidRDefault="00C16616" w:rsidP="00C16616">
      <w:pPr>
        <w:widowControl w:val="0"/>
        <w:jc w:val="both"/>
        <w:rPr>
          <w:rFonts w:ascii="Arial" w:hAnsi="Arial" w:cs="Arial"/>
        </w:rPr>
      </w:pPr>
    </w:p>
    <w:p w:rsidR="00C16616" w:rsidRPr="00112E2B" w:rsidRDefault="00C16616" w:rsidP="00C16616">
      <w:pPr>
        <w:pStyle w:val="Default"/>
        <w:jc w:val="both"/>
        <w:rPr>
          <w:rFonts w:ascii="Arial" w:hAnsi="Arial" w:cs="Arial"/>
        </w:rPr>
      </w:pPr>
      <w:r w:rsidRPr="00112E2B">
        <w:rPr>
          <w:rFonts w:ascii="Arial" w:hAnsi="Arial" w:cs="Arial"/>
          <w:b/>
        </w:rPr>
        <w:t>Artigo 36</w:t>
      </w:r>
      <w:r w:rsidRPr="00112E2B">
        <w:rPr>
          <w:rFonts w:ascii="Arial" w:hAnsi="Arial" w:cs="Arial"/>
        </w:rPr>
        <w:t xml:space="preserve"> – Fica o Poder Legislativo e Executivo, nos termos do inciso V, do artigo 167, da Constituição Federal/88 e artigos 7º, 42 e inciso III do artigo 43, da Lei Federal nº 4.320/64, autorizados a abrir Créditos Adicionais e Suplementares até o limite de 10% (dez por cento) do total de despesa fixada para cada Poder. </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Parágrafo único - </w:t>
      </w:r>
      <w:r w:rsidRPr="00112E2B">
        <w:rPr>
          <w:rFonts w:ascii="Arial" w:hAnsi="Arial" w:cs="Arial"/>
          <w:snapToGrid w:val="0"/>
        </w:rPr>
        <w:t>Entende-se por Créditos Adicionais Suplementares as alterações dentro do mesmo órgão e unidade orçamentária, mesmo programa de trabalho, mesma categoria econômica da despesa.</w:t>
      </w: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37 - </w:t>
      </w:r>
      <w:r w:rsidRPr="00112E2B">
        <w:rPr>
          <w:rFonts w:ascii="Arial" w:hAnsi="Arial" w:cs="Arial"/>
          <w:snapToGrid w:val="0"/>
        </w:rPr>
        <w:t xml:space="preserve">Fica o Poder Executivo, nos termos do inciso V, do Artigo 167, da Constituição Federal/88 e artigos 7º, 42 e inciso I do Artigo 43, da Lei Federal nº </w:t>
      </w:r>
      <w:r w:rsidRPr="00112E2B">
        <w:rPr>
          <w:rFonts w:ascii="Arial" w:hAnsi="Arial" w:cs="Arial"/>
          <w:snapToGrid w:val="0"/>
        </w:rPr>
        <w:lastRenderedPageBreak/>
        <w:t xml:space="preserve">4.320/64, autorizados a abrir Crédito Adicional - </w:t>
      </w:r>
      <w:r w:rsidRPr="00112E2B">
        <w:rPr>
          <w:rFonts w:ascii="Arial" w:hAnsi="Arial" w:cs="Arial"/>
          <w:i/>
          <w:snapToGrid w:val="0"/>
        </w:rPr>
        <w:t>Superávit</w:t>
      </w:r>
      <w:r w:rsidRPr="00112E2B">
        <w:rPr>
          <w:rFonts w:ascii="Arial" w:hAnsi="Arial" w:cs="Arial"/>
          <w:snapToGrid w:val="0"/>
        </w:rPr>
        <w:t xml:space="preserve"> Financeiro, por Fonte de Recursos.</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 xml:space="preserve">Entende-se por </w:t>
      </w:r>
      <w:r w:rsidRPr="00112E2B">
        <w:rPr>
          <w:rFonts w:ascii="Arial" w:hAnsi="Arial" w:cs="Arial"/>
          <w:i/>
          <w:snapToGrid w:val="0"/>
        </w:rPr>
        <w:t>Superávit</w:t>
      </w:r>
      <w:r w:rsidRPr="00112E2B">
        <w:rPr>
          <w:rFonts w:ascii="Arial" w:hAnsi="Arial" w:cs="Arial"/>
          <w:snapToGrid w:val="0"/>
        </w:rPr>
        <w:t xml:space="preserve"> Financeiro a diferença positiva entre o ativo financeiro e o passivo financeiro, apurada por Fonte de Recursos, em 31 de dezembro de 2024.</w:t>
      </w:r>
    </w:p>
    <w:p w:rsidR="00C16616" w:rsidRPr="00112E2B" w:rsidRDefault="00C16616" w:rsidP="00C16616">
      <w:pPr>
        <w:widowControl w:val="0"/>
        <w:jc w:val="both"/>
        <w:rPr>
          <w:rFonts w:ascii="Arial" w:hAnsi="Arial" w:cs="Arial"/>
        </w:rPr>
      </w:pPr>
    </w:p>
    <w:p w:rsidR="00C16616" w:rsidRPr="00112E2B" w:rsidRDefault="00C16616" w:rsidP="00C16616">
      <w:pPr>
        <w:widowControl w:val="0"/>
        <w:jc w:val="both"/>
        <w:rPr>
          <w:rFonts w:ascii="Arial" w:hAnsi="Arial" w:cs="Arial"/>
        </w:rPr>
      </w:pPr>
      <w:r w:rsidRPr="00112E2B">
        <w:rPr>
          <w:rFonts w:ascii="Arial" w:hAnsi="Arial" w:cs="Arial"/>
          <w:b/>
        </w:rPr>
        <w:t>§ 2º</w:t>
      </w:r>
      <w:r w:rsidRPr="00112E2B">
        <w:rPr>
          <w:rFonts w:ascii="Arial" w:hAnsi="Arial" w:cs="Arial"/>
        </w:rPr>
        <w:t xml:space="preserve"> - Ficam excluídos do limite fixado no Artigo 36 desta lei, os créditos previstos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38 - </w:t>
      </w:r>
      <w:r w:rsidRPr="00112E2B">
        <w:rPr>
          <w:rFonts w:ascii="Arial" w:hAnsi="Arial" w:cs="Arial"/>
          <w:snapToGrid w:val="0"/>
        </w:rPr>
        <w:t>Fica o Poder Executivo, nos termos do inciso V, do Artigo 167, da Constituição Federal/88 e artigos 7º, 42 e inciso II do Artigo 43, da Lei Federal nº 4.320/64, autorizados a abrir Crédito Adicional - Excesso de Arrecadação, por Fonte de Recursos.</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Entende-se por Excesso de Arrecadação o recebimento de recursos de convênios não previstos na Lei Orçamentária de 2025 e a diferença positiva entre a receita prevista na Lei Orçamentária de 2025 e a receita efetivamente realizada, por Fonte de Recursos.</w:t>
      </w:r>
    </w:p>
    <w:p w:rsidR="00C16616" w:rsidRPr="00112E2B" w:rsidRDefault="00C16616" w:rsidP="00C16616">
      <w:pPr>
        <w:widowControl w:val="0"/>
        <w:jc w:val="both"/>
        <w:rPr>
          <w:rFonts w:ascii="Arial" w:hAnsi="Arial" w:cs="Arial"/>
        </w:rPr>
      </w:pPr>
    </w:p>
    <w:p w:rsidR="00C16616" w:rsidRPr="00112E2B" w:rsidRDefault="00C16616" w:rsidP="00C16616">
      <w:pPr>
        <w:widowControl w:val="0"/>
        <w:jc w:val="both"/>
        <w:rPr>
          <w:rFonts w:ascii="Arial" w:hAnsi="Arial" w:cs="Arial"/>
        </w:rPr>
      </w:pPr>
      <w:r w:rsidRPr="00112E2B">
        <w:rPr>
          <w:rFonts w:ascii="Arial" w:hAnsi="Arial" w:cs="Arial"/>
          <w:b/>
        </w:rPr>
        <w:t>§ 2º</w:t>
      </w:r>
      <w:r w:rsidRPr="00112E2B">
        <w:rPr>
          <w:rFonts w:ascii="Arial" w:hAnsi="Arial" w:cs="Arial"/>
        </w:rPr>
        <w:t xml:space="preserve"> - Ficam excluídos do limite fixado no Artigo 36 desta lei, os créditos previstos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39 - </w:t>
      </w:r>
      <w:r w:rsidRPr="00112E2B">
        <w:rPr>
          <w:rFonts w:ascii="Arial" w:hAnsi="Arial" w:cs="Arial"/>
          <w:snapToGrid w:val="0"/>
        </w:rPr>
        <w:t>Fica o Poder Executivo, nos termos do inciso VI, do Artigo 167, da Constituição Federal/88, e artigos 7º, 42 e inciso III do Artigo 43, da Lei Federal nº 4.320/64, autorizados a abrir Crédito Adicional - Transposição.</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Entende-se por Transposição a realocação de recursos entre programas de trabalho, dentro de um mesmo órgão, mesma categoria econômica da despesa e mesma fonte de recursos.</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jc w:val="both"/>
        <w:rPr>
          <w:rFonts w:ascii="Arial" w:hAnsi="Arial" w:cs="Arial"/>
        </w:rPr>
      </w:pPr>
      <w:r w:rsidRPr="00112E2B">
        <w:rPr>
          <w:rFonts w:ascii="Arial" w:hAnsi="Arial" w:cs="Arial"/>
          <w:b/>
        </w:rPr>
        <w:t>§ 2º</w:t>
      </w:r>
      <w:r w:rsidRPr="00112E2B">
        <w:rPr>
          <w:rFonts w:ascii="Arial" w:hAnsi="Arial" w:cs="Arial"/>
        </w:rPr>
        <w:t xml:space="preserve"> - Ficam excluídos do limite fixado no Artigo 36 desta lei, os créditos previstos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40 - </w:t>
      </w:r>
      <w:r w:rsidRPr="00112E2B">
        <w:rPr>
          <w:rFonts w:ascii="Arial" w:hAnsi="Arial" w:cs="Arial"/>
          <w:snapToGrid w:val="0"/>
        </w:rPr>
        <w:t>Fica o Poder Executivo, nos termos do inciso VI, do Artigo 167, da Constituição Federal/88, e artigos 7º, 42 e inciso III do Artigo 43, da Lei Federal nº 4.320/64, autorizados a abrir Crédito Adicional - Remanejamento.</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Entende-se por Remanejamento a realocação de recursos entre órgãos, dentro da mesma fonte de recursos, independente da categoria econômica da despesa.</w:t>
      </w:r>
    </w:p>
    <w:p w:rsidR="00C16616" w:rsidRPr="00112E2B" w:rsidRDefault="00C16616" w:rsidP="00C16616">
      <w:pPr>
        <w:widowControl w:val="0"/>
        <w:jc w:val="both"/>
        <w:rPr>
          <w:rFonts w:ascii="Arial" w:hAnsi="Arial" w:cs="Arial"/>
          <w:b/>
        </w:rPr>
      </w:pPr>
    </w:p>
    <w:p w:rsidR="00C16616" w:rsidRPr="00112E2B" w:rsidRDefault="00C16616" w:rsidP="00C16616">
      <w:pPr>
        <w:widowControl w:val="0"/>
        <w:jc w:val="both"/>
        <w:rPr>
          <w:rFonts w:ascii="Arial" w:hAnsi="Arial" w:cs="Arial"/>
        </w:rPr>
      </w:pPr>
      <w:r w:rsidRPr="00112E2B">
        <w:rPr>
          <w:rFonts w:ascii="Arial" w:hAnsi="Arial" w:cs="Arial"/>
          <w:b/>
        </w:rPr>
        <w:t>§ 2º</w:t>
      </w:r>
      <w:r w:rsidRPr="00112E2B">
        <w:rPr>
          <w:rFonts w:ascii="Arial" w:hAnsi="Arial" w:cs="Arial"/>
        </w:rPr>
        <w:t xml:space="preserve"> Ficam excluídos do limite fixado no Artigo 36 desta lei, os créditos previstos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41 - </w:t>
      </w:r>
      <w:r w:rsidRPr="00112E2B">
        <w:rPr>
          <w:rFonts w:ascii="Arial" w:hAnsi="Arial" w:cs="Arial"/>
          <w:snapToGrid w:val="0"/>
        </w:rPr>
        <w:t>Ficam os Poderes Executivo e Legislativo, nos termos do inciso VI, do Artigo 167, da Constituição Federal/88, e artigos 7º, 42 e inciso III do Artigo 43, da Lei Federal nº 4.320/64, autorizados a abrir Crédito Adicional - Transferência.</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Entende-se por Transferência a realocação de recursos entre categorias econômicas da despesa, dentro do mesmo órgão, mesmo programa de trabalho e mesma fonte de recursos.</w:t>
      </w:r>
    </w:p>
    <w:p w:rsidR="00C16616" w:rsidRPr="00112E2B" w:rsidRDefault="00C16616" w:rsidP="00C16616">
      <w:pPr>
        <w:widowControl w:val="0"/>
        <w:jc w:val="both"/>
        <w:rPr>
          <w:rFonts w:ascii="Arial" w:hAnsi="Arial" w:cs="Arial"/>
        </w:rPr>
      </w:pPr>
    </w:p>
    <w:p w:rsidR="00C16616" w:rsidRPr="00112E2B" w:rsidRDefault="00C16616" w:rsidP="00C16616">
      <w:pPr>
        <w:widowControl w:val="0"/>
        <w:jc w:val="both"/>
        <w:rPr>
          <w:rFonts w:ascii="Arial" w:hAnsi="Arial" w:cs="Arial"/>
        </w:rPr>
      </w:pPr>
      <w:r w:rsidRPr="00112E2B">
        <w:rPr>
          <w:rFonts w:ascii="Arial" w:hAnsi="Arial" w:cs="Arial"/>
          <w:b/>
        </w:rPr>
        <w:t>§ 2º</w:t>
      </w:r>
      <w:r w:rsidRPr="00112E2B">
        <w:rPr>
          <w:rFonts w:ascii="Arial" w:hAnsi="Arial" w:cs="Arial"/>
        </w:rPr>
        <w:t xml:space="preserve"> - Ficam excluídos do limite fixado no Artigo 36 desta lei, os créditos previstos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42 - </w:t>
      </w:r>
      <w:r w:rsidRPr="00112E2B">
        <w:rPr>
          <w:rFonts w:ascii="Arial" w:hAnsi="Arial" w:cs="Arial"/>
          <w:snapToGrid w:val="0"/>
        </w:rPr>
        <w:t>Ficam os Poderes Legislativo e Executivo autorizados a alterar as Modalidades de Aplicação constantes da Lei Orçamentária de 2025 até o limite de dez por cento do total da despesa fixada para cada Poder.</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jc w:val="both"/>
        <w:rPr>
          <w:rFonts w:ascii="Arial" w:hAnsi="Arial" w:cs="Arial"/>
        </w:rPr>
      </w:pPr>
      <w:r w:rsidRPr="00112E2B">
        <w:rPr>
          <w:rFonts w:ascii="Arial" w:hAnsi="Arial" w:cs="Arial"/>
          <w:b/>
          <w:snapToGrid w:val="0"/>
        </w:rPr>
        <w:t xml:space="preserve">Parágrafo único - </w:t>
      </w:r>
      <w:r w:rsidRPr="00112E2B">
        <w:rPr>
          <w:rFonts w:ascii="Arial" w:hAnsi="Arial" w:cs="Arial"/>
        </w:rPr>
        <w:t xml:space="preserve">Ficam excluídos do limite fixado no Artigo 36 desta lei, os créditos previstos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43 - </w:t>
      </w:r>
      <w:r w:rsidRPr="00112E2B">
        <w:rPr>
          <w:rFonts w:ascii="Arial" w:hAnsi="Arial" w:cs="Arial"/>
          <w:snapToGrid w:val="0"/>
        </w:rPr>
        <w:t>Fica o Poder Executivo autorizado a alterar as fontes de recursos constantes da Lei Orçamentária de 2025 até o limite de dez por cento do total da despesa fixada para o Poder Executivo.</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jc w:val="both"/>
        <w:rPr>
          <w:rFonts w:ascii="Arial" w:hAnsi="Arial" w:cs="Arial"/>
        </w:rPr>
      </w:pPr>
      <w:r w:rsidRPr="00112E2B">
        <w:rPr>
          <w:rFonts w:ascii="Arial" w:hAnsi="Arial" w:cs="Arial"/>
          <w:b/>
          <w:snapToGrid w:val="0"/>
        </w:rPr>
        <w:t xml:space="preserve">§ 1º - </w:t>
      </w:r>
      <w:r w:rsidRPr="00112E2B">
        <w:rPr>
          <w:rFonts w:ascii="Arial" w:hAnsi="Arial" w:cs="Arial"/>
        </w:rPr>
        <w:t xml:space="preserve">A alteração prevista no </w:t>
      </w:r>
      <w:r w:rsidRPr="00112E2B">
        <w:rPr>
          <w:rFonts w:ascii="Arial" w:hAnsi="Arial" w:cs="Arial"/>
          <w:i/>
        </w:rPr>
        <w:t>caput</w:t>
      </w:r>
      <w:r w:rsidRPr="00112E2B">
        <w:rPr>
          <w:rFonts w:ascii="Arial" w:hAnsi="Arial" w:cs="Arial"/>
        </w:rPr>
        <w:t xml:space="preserve"> fica limitada às Fontes de Recursos a seguir especificadas:</w:t>
      </w:r>
    </w:p>
    <w:p w:rsidR="00C16616" w:rsidRPr="00112E2B" w:rsidRDefault="00C16616" w:rsidP="00C16616">
      <w:pPr>
        <w:widowControl w:val="0"/>
        <w:jc w:val="both"/>
        <w:rPr>
          <w:rFonts w:ascii="Arial" w:hAnsi="Arial" w:cs="Arial"/>
        </w:rPr>
      </w:pPr>
    </w:p>
    <w:tbl>
      <w:tblPr>
        <w:tblStyle w:val="Tabelacomgrade"/>
        <w:tblW w:w="0" w:type="auto"/>
        <w:tblInd w:w="108" w:type="dxa"/>
        <w:tblLook w:val="04A0"/>
      </w:tblPr>
      <w:tblGrid>
        <w:gridCol w:w="617"/>
        <w:gridCol w:w="8393"/>
      </w:tblGrid>
      <w:tr w:rsidR="00C16616" w:rsidRPr="00112E2B" w:rsidTr="006E040F">
        <w:tc>
          <w:tcPr>
            <w:tcW w:w="567"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000</w:t>
            </w:r>
          </w:p>
        </w:tc>
        <w:tc>
          <w:tcPr>
            <w:tcW w:w="8509"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Recursos Ordinários (livres) – Exercício Corrente</w:t>
            </w:r>
          </w:p>
        </w:tc>
      </w:tr>
      <w:tr w:rsidR="00C16616" w:rsidRPr="00112E2B" w:rsidTr="006E040F">
        <w:tc>
          <w:tcPr>
            <w:tcW w:w="567"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101</w:t>
            </w:r>
          </w:p>
        </w:tc>
        <w:tc>
          <w:tcPr>
            <w:tcW w:w="8509"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FUNDEB – 70% - Exercício Corrente</w:t>
            </w:r>
          </w:p>
        </w:tc>
      </w:tr>
      <w:tr w:rsidR="00C16616" w:rsidRPr="00112E2B" w:rsidTr="006E040F">
        <w:tc>
          <w:tcPr>
            <w:tcW w:w="567"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102</w:t>
            </w:r>
          </w:p>
        </w:tc>
        <w:tc>
          <w:tcPr>
            <w:tcW w:w="8509"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FUNDEB – 30% - Exercício Corrente</w:t>
            </w:r>
          </w:p>
        </w:tc>
      </w:tr>
      <w:tr w:rsidR="00C16616" w:rsidRPr="00112E2B" w:rsidTr="006E040F">
        <w:tc>
          <w:tcPr>
            <w:tcW w:w="567"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103</w:t>
            </w:r>
          </w:p>
        </w:tc>
        <w:tc>
          <w:tcPr>
            <w:tcW w:w="8509"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Educação 5% - Transferências Constitucionais Vinculadas a Educação – Exercício Corrente</w:t>
            </w:r>
          </w:p>
        </w:tc>
      </w:tr>
      <w:tr w:rsidR="00C16616" w:rsidRPr="00112E2B" w:rsidTr="006E040F">
        <w:tc>
          <w:tcPr>
            <w:tcW w:w="567"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104</w:t>
            </w:r>
          </w:p>
        </w:tc>
        <w:tc>
          <w:tcPr>
            <w:tcW w:w="8509"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Educação 25% - Impostos Vinculados à Educação – Exercício Corrente</w:t>
            </w:r>
          </w:p>
        </w:tc>
      </w:tr>
      <w:tr w:rsidR="00C16616" w:rsidRPr="00112E2B" w:rsidTr="006E040F">
        <w:tc>
          <w:tcPr>
            <w:tcW w:w="567"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303</w:t>
            </w:r>
          </w:p>
        </w:tc>
        <w:tc>
          <w:tcPr>
            <w:tcW w:w="8509" w:type="dxa"/>
          </w:tcPr>
          <w:p w:rsidR="00C16616" w:rsidRPr="00112E2B" w:rsidRDefault="00C16616" w:rsidP="006E040F">
            <w:pPr>
              <w:widowControl w:val="0"/>
              <w:jc w:val="both"/>
              <w:rPr>
                <w:rFonts w:ascii="Arial" w:hAnsi="Arial" w:cs="Arial"/>
                <w:sz w:val="24"/>
                <w:szCs w:val="24"/>
              </w:rPr>
            </w:pPr>
            <w:r w:rsidRPr="00112E2B">
              <w:rPr>
                <w:rFonts w:ascii="Arial" w:hAnsi="Arial" w:cs="Arial"/>
                <w:sz w:val="24"/>
                <w:szCs w:val="24"/>
              </w:rPr>
              <w:t>Saúde – 15% de Impostos e Transferências Correntes</w:t>
            </w:r>
          </w:p>
        </w:tc>
      </w:tr>
    </w:tbl>
    <w:p w:rsidR="00C16616" w:rsidRPr="00112E2B" w:rsidRDefault="00C16616" w:rsidP="00C16616">
      <w:pPr>
        <w:widowControl w:val="0"/>
        <w:jc w:val="both"/>
        <w:rPr>
          <w:rFonts w:ascii="Arial" w:hAnsi="Arial" w:cs="Arial"/>
        </w:rPr>
      </w:pPr>
    </w:p>
    <w:p w:rsidR="00C16616" w:rsidRPr="00112E2B" w:rsidRDefault="00C16616" w:rsidP="00C16616">
      <w:pPr>
        <w:widowControl w:val="0"/>
        <w:jc w:val="both"/>
        <w:rPr>
          <w:rFonts w:ascii="Arial" w:hAnsi="Arial" w:cs="Arial"/>
        </w:rPr>
      </w:pPr>
      <w:r w:rsidRPr="00112E2B">
        <w:rPr>
          <w:rFonts w:ascii="Arial" w:hAnsi="Arial" w:cs="Arial"/>
          <w:b/>
          <w:snapToGrid w:val="0"/>
        </w:rPr>
        <w:t xml:space="preserve">§ 2º - </w:t>
      </w:r>
      <w:r w:rsidRPr="00112E2B">
        <w:rPr>
          <w:rFonts w:ascii="Arial" w:hAnsi="Arial" w:cs="Arial"/>
        </w:rPr>
        <w:t xml:space="preserve">Ficam excluídas do limite fixado no Artigo 36 desta lei, as alterações previstas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44 - </w:t>
      </w:r>
      <w:r w:rsidRPr="00112E2B">
        <w:rPr>
          <w:rFonts w:ascii="Arial" w:hAnsi="Arial" w:cs="Arial"/>
          <w:snapToGrid w:val="0"/>
        </w:rPr>
        <w:t xml:space="preserve">A </w:t>
      </w:r>
      <w:r w:rsidRPr="00112E2B">
        <w:rPr>
          <w:rFonts w:ascii="Arial" w:hAnsi="Arial" w:cs="Arial"/>
        </w:rPr>
        <w:t>reabertura dos créditos especiais e extraordinários, conforme disposto no § 2º, do Artigo 167, da Constituição Federal/88, será efetivada mediante decreto do Poder Executivo.</w:t>
      </w:r>
    </w:p>
    <w:p w:rsidR="00C16616" w:rsidRPr="00112E2B" w:rsidRDefault="00C16616" w:rsidP="00C16616">
      <w:pPr>
        <w:widowControl w:val="0"/>
        <w:jc w:val="both"/>
        <w:rPr>
          <w:rFonts w:ascii="Arial" w:hAnsi="Arial" w:cs="Arial"/>
          <w:b/>
          <w:snapToGrid w:val="0"/>
        </w:rPr>
      </w:pP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rPr>
        <w:t xml:space="preserve">§ 1º - </w:t>
      </w:r>
      <w:r w:rsidRPr="00112E2B">
        <w:rPr>
          <w:rFonts w:ascii="Arial" w:hAnsi="Arial" w:cs="Arial"/>
        </w:rPr>
        <w:t xml:space="preserve">Para a reabertura dos créditos previstos no </w:t>
      </w:r>
      <w:r w:rsidRPr="00112E2B">
        <w:rPr>
          <w:rFonts w:ascii="Arial" w:hAnsi="Arial" w:cs="Arial"/>
          <w:i/>
        </w:rPr>
        <w:t>caput</w:t>
      </w:r>
      <w:r w:rsidRPr="00112E2B">
        <w:rPr>
          <w:rFonts w:ascii="Arial" w:hAnsi="Arial" w:cs="Arial"/>
        </w:rPr>
        <w:t>, o Executivo utilizar-se-á do previsto nos incisos I e II, do Artigo 43, da Lei Federal nº 4.320/64.</w:t>
      </w:r>
    </w:p>
    <w:p w:rsidR="00C16616" w:rsidRPr="00112E2B" w:rsidRDefault="00C16616" w:rsidP="00C16616">
      <w:pPr>
        <w:widowControl w:val="0"/>
        <w:jc w:val="both"/>
        <w:rPr>
          <w:rFonts w:ascii="Arial" w:hAnsi="Arial" w:cs="Arial"/>
        </w:rPr>
      </w:pPr>
    </w:p>
    <w:p w:rsidR="00C16616" w:rsidRPr="00112E2B" w:rsidRDefault="00C16616" w:rsidP="00C16616">
      <w:pPr>
        <w:widowControl w:val="0"/>
        <w:jc w:val="both"/>
        <w:rPr>
          <w:rFonts w:ascii="Arial" w:hAnsi="Arial" w:cs="Arial"/>
        </w:rPr>
      </w:pPr>
      <w:r w:rsidRPr="00112E2B">
        <w:rPr>
          <w:rFonts w:ascii="Arial" w:hAnsi="Arial" w:cs="Arial"/>
          <w:b/>
        </w:rPr>
        <w:t>§ 2º</w:t>
      </w:r>
      <w:r w:rsidRPr="00112E2B">
        <w:rPr>
          <w:rFonts w:ascii="Arial" w:hAnsi="Arial" w:cs="Arial"/>
        </w:rPr>
        <w:t xml:space="preserve"> - Ficam excluídos do limite fixado no Artigo 36 desta lei, os créditos previstos no </w:t>
      </w:r>
      <w:r w:rsidRPr="00112E2B">
        <w:rPr>
          <w:rFonts w:ascii="Arial" w:hAnsi="Arial" w:cs="Arial"/>
          <w:i/>
        </w:rPr>
        <w:t>caput</w:t>
      </w:r>
      <w:r w:rsidRPr="00112E2B">
        <w:rPr>
          <w:rFonts w:ascii="Arial" w:hAnsi="Arial" w:cs="Arial"/>
        </w:rPr>
        <w:t xml:space="preserve"> deste artigo.</w:t>
      </w:r>
    </w:p>
    <w:p w:rsidR="00C16616" w:rsidRPr="00112E2B" w:rsidRDefault="00C16616" w:rsidP="00C16616">
      <w:pPr>
        <w:widowControl w:val="0"/>
        <w:jc w:val="both"/>
        <w:rPr>
          <w:rFonts w:ascii="Arial" w:hAnsi="Arial" w:cs="Arial"/>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45 - </w:t>
      </w:r>
      <w:r w:rsidRPr="00112E2B">
        <w:rPr>
          <w:rFonts w:ascii="Arial" w:hAnsi="Arial" w:cs="Arial"/>
          <w:snapToGrid w:val="0"/>
        </w:rPr>
        <w:t>Os recursos provenientes de convênios repassados pelo Município a outras entidades públicas ou privados, deverão ter sua aplicação comprovada mediante prestação de contas ao Órgão de Controle Interno do Município.</w:t>
      </w:r>
    </w:p>
    <w:p w:rsidR="00C16616" w:rsidRPr="00112E2B" w:rsidRDefault="00C16616" w:rsidP="00C16616">
      <w:pPr>
        <w:pStyle w:val="Ttulo1"/>
        <w:jc w:val="both"/>
      </w:pPr>
    </w:p>
    <w:p w:rsidR="00C16616" w:rsidRPr="00112E2B" w:rsidRDefault="00C16616" w:rsidP="00C16616">
      <w:pPr>
        <w:pStyle w:val="Ttulo1"/>
        <w:jc w:val="both"/>
      </w:pPr>
      <w:r w:rsidRPr="00112E2B">
        <w:t>CAPÍTULO V</w:t>
      </w: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DISPOSIÇÕES RELATIVAS ÀS DESPESAS DO MUNICÍPIO COM PESSOAL E ENCARGOS SOCIAIS</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46 - </w:t>
      </w:r>
      <w:r w:rsidRPr="00112E2B">
        <w:rPr>
          <w:rFonts w:ascii="Arial" w:hAnsi="Arial" w:cs="Arial"/>
          <w:snapToGrid w:val="0"/>
        </w:rPr>
        <w:t>As despesas com pessoal e encargos sociais para o exercício financeiro de 2025 serão fixadas observando-se o disposto nas normas constitucionais aplicáveis, na Lei Federal nº 9.717, de 27/11/1998, na Lei Complementar nº 101/2000 - LRF.</w:t>
      </w:r>
    </w:p>
    <w:p w:rsidR="00C16616" w:rsidRPr="00112E2B" w:rsidRDefault="00C16616" w:rsidP="00C16616">
      <w:pPr>
        <w:widowControl w:val="0"/>
        <w:jc w:val="both"/>
        <w:rPr>
          <w:rFonts w:ascii="Arial" w:hAnsi="Arial" w:cs="Arial"/>
          <w:snapToGrid w:val="0"/>
        </w:rPr>
      </w:pPr>
    </w:p>
    <w:p w:rsidR="00C16616" w:rsidRPr="00112E2B" w:rsidRDefault="00C16616" w:rsidP="00C16616">
      <w:pPr>
        <w:tabs>
          <w:tab w:val="left" w:pos="1418"/>
        </w:tabs>
        <w:jc w:val="both"/>
        <w:rPr>
          <w:rFonts w:ascii="Arial" w:hAnsi="Arial" w:cs="Arial"/>
        </w:rPr>
      </w:pPr>
      <w:r w:rsidRPr="00112E2B">
        <w:rPr>
          <w:rFonts w:ascii="Arial" w:hAnsi="Arial" w:cs="Arial"/>
          <w:b/>
          <w:snapToGrid w:val="0"/>
        </w:rPr>
        <w:lastRenderedPageBreak/>
        <w:t xml:space="preserve">Artigo 47 - </w:t>
      </w:r>
      <w:r w:rsidRPr="00112E2B">
        <w:rPr>
          <w:rFonts w:ascii="Arial" w:hAnsi="Arial" w:cs="Arial"/>
        </w:rPr>
        <w:t xml:space="preserve">O reajuste salarial dos servidores públicos municipais deverá observar a previsão de recursos orçamentários e financeiros constantes na Lei Orçamentária de 2025, e em seus Créditos Adicionais, em categoria de programação específica, observando o limite do </w:t>
      </w:r>
      <w:r w:rsidRPr="00112E2B">
        <w:rPr>
          <w:rFonts w:ascii="Arial" w:hAnsi="Arial" w:cs="Arial"/>
          <w:snapToGrid w:val="0"/>
        </w:rPr>
        <w:t>inciso</w:t>
      </w:r>
      <w:r w:rsidRPr="00112E2B">
        <w:rPr>
          <w:rFonts w:ascii="Arial" w:hAnsi="Arial" w:cs="Arial"/>
        </w:rPr>
        <w:t xml:space="preserve"> III, do Artigo 20, e o Artigo 21 da Lei Complementar nº 101/2000 - LRF. </w:t>
      </w:r>
    </w:p>
    <w:p w:rsidR="00C16616" w:rsidRPr="00112E2B" w:rsidRDefault="00C16616" w:rsidP="00C16616">
      <w:pPr>
        <w:jc w:val="both"/>
        <w:rPr>
          <w:rFonts w:ascii="Arial" w:hAnsi="Arial" w:cs="Arial"/>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48 - </w:t>
      </w:r>
      <w:r w:rsidRPr="00112E2B">
        <w:rPr>
          <w:rFonts w:ascii="Arial" w:hAnsi="Arial" w:cs="Arial"/>
          <w:snapToGrid w:val="0"/>
        </w:rPr>
        <w:t>O Poder Executivo, por intermédio da Secretaria de Administração, publicará, até 31 de julho de 2024, a tabela de cargos efetivos e comissionados integrantes do quadro geral de pessoal civil e demonstrará os quantitativos de cargos ocupados por servidores estáveis e não estáveis e de cargos vagos, comparando-os com os quantitativos do ano anterior e indicando as respectivas variações percentuais.</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49 - </w:t>
      </w:r>
      <w:r w:rsidRPr="00112E2B">
        <w:rPr>
          <w:rFonts w:ascii="Arial" w:hAnsi="Arial" w:cs="Arial"/>
          <w:snapToGrid w:val="0"/>
        </w:rPr>
        <w:t xml:space="preserve">O Poder Legislativo, durante o exercício financeiro de 2025, deverá enquadrar-se nas determinações dos </w:t>
      </w:r>
      <w:proofErr w:type="spellStart"/>
      <w:r w:rsidRPr="00112E2B">
        <w:rPr>
          <w:rFonts w:ascii="Arial" w:hAnsi="Arial" w:cs="Arial"/>
          <w:snapToGrid w:val="0"/>
        </w:rPr>
        <w:t>arts</w:t>
      </w:r>
      <w:proofErr w:type="spellEnd"/>
      <w:r w:rsidRPr="00112E2B">
        <w:rPr>
          <w:rFonts w:ascii="Arial" w:hAnsi="Arial" w:cs="Arial"/>
          <w:snapToGrid w:val="0"/>
        </w:rPr>
        <w:t>. 46 e 47 desta lei, com relação às despesas com pessoal e encargos sociais.</w:t>
      </w:r>
    </w:p>
    <w:p w:rsidR="00C16616" w:rsidRPr="00112E2B" w:rsidRDefault="00C16616" w:rsidP="00C16616">
      <w:pPr>
        <w:widowControl w:val="0"/>
        <w:tabs>
          <w:tab w:val="left" w:pos="2410"/>
        </w:tabs>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50 - </w:t>
      </w:r>
      <w:r w:rsidRPr="00112E2B">
        <w:rPr>
          <w:rFonts w:ascii="Arial" w:hAnsi="Arial" w:cs="Arial"/>
          <w:snapToGrid w:val="0"/>
        </w:rPr>
        <w:t xml:space="preserve">Os Poderes Legislativo e Executivo, na elaboração de suas propostas orçamentárias, terão como base de cálculo, para fixação da despesa com pessoal e encargos sociais, a folha de pagamento do mês de Junho de 2024 projetada para o exercício, considerando os eventuais acréscimos legais a serem concedidos aos servidores públicos municipais, bem como as admissões para preenchimento de cargos, sem prejuízo do disposto nos </w:t>
      </w:r>
      <w:proofErr w:type="spellStart"/>
      <w:r w:rsidRPr="00112E2B">
        <w:rPr>
          <w:rFonts w:ascii="Arial" w:hAnsi="Arial" w:cs="Arial"/>
          <w:snapToGrid w:val="0"/>
        </w:rPr>
        <w:t>arts</w:t>
      </w:r>
      <w:proofErr w:type="spellEnd"/>
      <w:r w:rsidRPr="00112E2B">
        <w:rPr>
          <w:rFonts w:ascii="Arial" w:hAnsi="Arial" w:cs="Arial"/>
          <w:snapToGrid w:val="0"/>
        </w:rPr>
        <w:t>. 18 e 19 da Lei Complementar nº 101/2000 - LRF, observado o contido no Artigo 37, II, da Constituição Federal.</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1º - </w:t>
      </w:r>
      <w:r w:rsidRPr="00112E2B">
        <w:rPr>
          <w:rFonts w:ascii="Arial" w:hAnsi="Arial" w:cs="Arial"/>
          <w:snapToGrid w:val="0"/>
        </w:rPr>
        <w:t xml:space="preserve">Para atender ao disposto no </w:t>
      </w:r>
      <w:r w:rsidRPr="00112E2B">
        <w:rPr>
          <w:rFonts w:ascii="Arial" w:hAnsi="Arial" w:cs="Arial"/>
          <w:i/>
          <w:snapToGrid w:val="0"/>
        </w:rPr>
        <w:t>caput</w:t>
      </w:r>
      <w:r w:rsidRPr="00112E2B">
        <w:rPr>
          <w:rFonts w:ascii="Arial" w:hAnsi="Arial" w:cs="Arial"/>
          <w:snapToGrid w:val="0"/>
        </w:rPr>
        <w:t xml:space="preserve"> deste artigo serão observados os limites estabelecidos na Emenda Constitucional nº 25, de 14 de fevereiro de 2000, e na Lei Complementar nº 101/2000 - LRF.</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 2º - </w:t>
      </w:r>
      <w:r w:rsidRPr="00112E2B">
        <w:rPr>
          <w:rFonts w:ascii="Arial" w:hAnsi="Arial" w:cs="Arial"/>
          <w:snapToGrid w:val="0"/>
        </w:rPr>
        <w:t>Para fins de atendimento ao disposto no art. 22, V da Lei Complementar 101/2000- LRF, ficam autorizadas a contratação de horas extras nos setores de saúde, educação e serviços essenciais mediante autorização expressa do ordenador de despesas.</w:t>
      </w:r>
    </w:p>
    <w:p w:rsidR="00C16616" w:rsidRPr="00112E2B" w:rsidRDefault="00C16616" w:rsidP="00C16616">
      <w:pPr>
        <w:widowControl w:val="0"/>
        <w:tabs>
          <w:tab w:val="left" w:pos="2410"/>
        </w:tabs>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51 - </w:t>
      </w:r>
      <w:r w:rsidRPr="00112E2B">
        <w:rPr>
          <w:rFonts w:ascii="Arial" w:hAnsi="Arial" w:cs="Arial"/>
          <w:snapToGrid w:val="0"/>
        </w:rPr>
        <w:t>No exercício financeiro de 2025, observado o disposto no Artigo 169 da Constituição Federal, somente poderão ser admitidos servidores se:</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existirem cargos vagos a preencher, demonstrados na tabela a que se refere o Artigo 48 desta lei;</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II </w:t>
      </w:r>
      <w:r w:rsidRPr="00112E2B">
        <w:rPr>
          <w:rFonts w:ascii="Arial" w:hAnsi="Arial" w:cs="Arial"/>
          <w:snapToGrid w:val="0"/>
        </w:rPr>
        <w:t>- houver vacância, após 31 de julho de 2025, dos cargos ocupados, constantes da referida tabela;</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III </w:t>
      </w:r>
      <w:r w:rsidRPr="00112E2B">
        <w:rPr>
          <w:rFonts w:ascii="Arial" w:hAnsi="Arial" w:cs="Arial"/>
          <w:snapToGrid w:val="0"/>
        </w:rPr>
        <w:t>- houver prévia dotação orçamentária suficiente para o atendimento da despesa; e</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IV </w:t>
      </w:r>
      <w:r w:rsidRPr="00112E2B">
        <w:rPr>
          <w:rFonts w:ascii="Arial" w:hAnsi="Arial" w:cs="Arial"/>
          <w:snapToGrid w:val="0"/>
        </w:rPr>
        <w:t>- forem observados os limites e restrições previstas na Lei Complementar 101/2000.</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 xml:space="preserve">Parágrafo único - </w:t>
      </w:r>
      <w:r w:rsidRPr="00112E2B">
        <w:rPr>
          <w:rFonts w:ascii="Arial" w:hAnsi="Arial" w:cs="Arial"/>
          <w:snapToGrid w:val="0"/>
        </w:rPr>
        <w:t xml:space="preserve">A criação de cargos, empregos e funções somente poderão ocorrer depois de atendido ao disposto neste artigo, no Artigo 169, § 1º, I e II, da Constituição Federal, e nos </w:t>
      </w:r>
      <w:proofErr w:type="spellStart"/>
      <w:r w:rsidRPr="00112E2B">
        <w:rPr>
          <w:rFonts w:ascii="Arial" w:hAnsi="Arial" w:cs="Arial"/>
          <w:snapToGrid w:val="0"/>
        </w:rPr>
        <w:t>arts</w:t>
      </w:r>
      <w:proofErr w:type="spellEnd"/>
      <w:r w:rsidRPr="00112E2B">
        <w:rPr>
          <w:rFonts w:ascii="Arial" w:hAnsi="Arial" w:cs="Arial"/>
          <w:snapToGrid w:val="0"/>
        </w:rPr>
        <w:t>. 16 e 17 da Lei Complementar nº 101/2000 - LRF.</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b/>
          <w:snapToGrid w:val="0"/>
        </w:rPr>
      </w:pPr>
      <w:r w:rsidRPr="00112E2B">
        <w:rPr>
          <w:rFonts w:ascii="Arial" w:hAnsi="Arial" w:cs="Arial"/>
          <w:b/>
          <w:snapToGrid w:val="0"/>
        </w:rPr>
        <w:t xml:space="preserve">Artigo 52 - </w:t>
      </w:r>
      <w:r w:rsidRPr="00112E2B">
        <w:rPr>
          <w:rFonts w:ascii="Arial" w:hAnsi="Arial" w:cs="Arial"/>
          <w:snapToGrid w:val="0"/>
        </w:rPr>
        <w:t xml:space="preserve">O disposto no Artigo 18, § 1º, da Lei Complementar nº 101/2000 - LRF aplica-se exclusivamente para fins de cálculo do limite da despesa total com </w:t>
      </w:r>
      <w:r w:rsidRPr="00112E2B">
        <w:rPr>
          <w:rFonts w:ascii="Arial" w:hAnsi="Arial" w:cs="Arial"/>
          <w:snapToGrid w:val="0"/>
        </w:rPr>
        <w:lastRenderedPageBreak/>
        <w:t>pessoal, independentemente da legalidade ou validade dos contratos.</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Parágrafo único - </w:t>
      </w:r>
      <w:r w:rsidRPr="00112E2B">
        <w:rPr>
          <w:rFonts w:ascii="Arial" w:hAnsi="Arial" w:cs="Arial"/>
          <w:snapToGrid w:val="0"/>
        </w:rPr>
        <w:t xml:space="preserve">Não se consideram como substituição de servidores e empregados públicos, para efeito do </w:t>
      </w:r>
      <w:r w:rsidRPr="00112E2B">
        <w:rPr>
          <w:rFonts w:ascii="Arial" w:hAnsi="Arial" w:cs="Arial"/>
          <w:i/>
          <w:snapToGrid w:val="0"/>
        </w:rPr>
        <w:t>caput</w:t>
      </w:r>
      <w:r w:rsidRPr="00112E2B">
        <w:rPr>
          <w:rFonts w:ascii="Arial" w:hAnsi="Arial" w:cs="Arial"/>
          <w:snapToGrid w:val="0"/>
        </w:rPr>
        <w:t>, os contratos de terceirização relativos à execução indireta de atividades que, simultaneamente:</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sejam acessórias, instrumentais ou complementares aos assuntos que constituem área de competência legal do órgão ou entidade, na forma de regulamento;</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II</w:t>
      </w:r>
      <w:r w:rsidRPr="00112E2B">
        <w:rPr>
          <w:rFonts w:ascii="Arial" w:hAnsi="Arial" w:cs="Arial"/>
          <w:snapToGrid w:val="0"/>
        </w:rPr>
        <w:t xml:space="preserve"> - não sejam inerentes a categorias funcionais abrangidas por plano de cargos do quadro de pessoal do órgão ou entidade, salvo expressa disposição legal em contrário, ou quando se tratar de cargo ou categoria extinto, total ou parcialmente; ou</w:t>
      </w: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III</w:t>
      </w:r>
      <w:r w:rsidRPr="00112E2B">
        <w:rPr>
          <w:rFonts w:ascii="Arial" w:hAnsi="Arial" w:cs="Arial"/>
          <w:snapToGrid w:val="0"/>
        </w:rPr>
        <w:t xml:space="preserve"> - não caracterizem relação direta de emprego.</w:t>
      </w:r>
    </w:p>
    <w:p w:rsidR="00C16616" w:rsidRPr="00112E2B" w:rsidRDefault="00C16616" w:rsidP="00C16616">
      <w:pPr>
        <w:widowControl w:val="0"/>
        <w:jc w:val="both"/>
        <w:rPr>
          <w:rFonts w:ascii="Arial" w:hAnsi="Arial" w:cs="Arial"/>
          <w:snapToGrid w:val="0"/>
        </w:rPr>
      </w:pPr>
    </w:p>
    <w:p w:rsidR="00C16616" w:rsidRPr="00112E2B" w:rsidRDefault="00C16616" w:rsidP="00C16616">
      <w:pPr>
        <w:keepNext/>
        <w:widowControl w:val="0"/>
        <w:jc w:val="both"/>
        <w:rPr>
          <w:rFonts w:ascii="Arial" w:hAnsi="Arial" w:cs="Arial"/>
          <w:b/>
          <w:snapToGrid w:val="0"/>
        </w:rPr>
      </w:pPr>
      <w:r w:rsidRPr="00112E2B">
        <w:rPr>
          <w:rFonts w:ascii="Arial" w:hAnsi="Arial" w:cs="Arial"/>
          <w:b/>
          <w:snapToGrid w:val="0"/>
        </w:rPr>
        <w:t>CAPÍTULO VI</w:t>
      </w: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DISPOSIÇÕES SOBRE ALTERAÇÕES NA LEGISLAÇÃO TRIBUTÁRIA DO MUNICÍPIO</w:t>
      </w:r>
    </w:p>
    <w:p w:rsidR="00C16616" w:rsidRPr="00112E2B" w:rsidRDefault="00C16616" w:rsidP="00C16616">
      <w:pPr>
        <w:widowControl w:val="0"/>
        <w:jc w:val="both"/>
        <w:rPr>
          <w:rFonts w:ascii="Arial" w:hAnsi="Arial" w:cs="Arial"/>
        </w:rPr>
      </w:pPr>
    </w:p>
    <w:p w:rsidR="00C16616" w:rsidRPr="00112E2B" w:rsidRDefault="00C16616" w:rsidP="00C16616">
      <w:pPr>
        <w:tabs>
          <w:tab w:val="left" w:pos="1418"/>
        </w:tabs>
        <w:jc w:val="both"/>
        <w:rPr>
          <w:rFonts w:ascii="Arial" w:hAnsi="Arial" w:cs="Arial"/>
        </w:rPr>
      </w:pPr>
      <w:r w:rsidRPr="00112E2B">
        <w:rPr>
          <w:rFonts w:ascii="Arial" w:hAnsi="Arial" w:cs="Arial"/>
          <w:b/>
        </w:rPr>
        <w:t>Artigo 53 -</w:t>
      </w:r>
      <w:r w:rsidRPr="00112E2B">
        <w:rPr>
          <w:rFonts w:ascii="Arial" w:hAnsi="Arial" w:cs="Arial"/>
        </w:rPr>
        <w:t xml:space="preserve"> Ocorrendo alterações na legislação tributária em vigor, decorrentes de lei aprovada até o término deste exercício, que impliquem acréscimo em relação à estimativa de receita constante do Projeto de Lei Orçamentária, fica o Poder Executivo autorizado a proceder aos devidos ajustes na execução orçamentária.</w:t>
      </w:r>
    </w:p>
    <w:p w:rsidR="00C16616" w:rsidRPr="00112E2B" w:rsidRDefault="00C16616" w:rsidP="00C16616">
      <w:pPr>
        <w:widowControl w:val="0"/>
        <w:tabs>
          <w:tab w:val="left" w:pos="2410"/>
        </w:tabs>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54 - </w:t>
      </w:r>
      <w:r w:rsidRPr="00112E2B">
        <w:rPr>
          <w:rFonts w:ascii="Arial" w:hAnsi="Arial" w:cs="Arial"/>
          <w:snapToGrid w:val="0"/>
        </w:rPr>
        <w:t>Os tributos poderão ser corrigidos monetariamente segundo a variação estabelecida pelo INPC/IBGE ou outro indexador que venha substituí-lo.</w:t>
      </w: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55 - </w:t>
      </w:r>
      <w:r w:rsidRPr="00112E2B">
        <w:rPr>
          <w:rFonts w:ascii="Arial" w:hAnsi="Arial" w:cs="Arial"/>
          <w:snapToGrid w:val="0"/>
        </w:rPr>
        <w:t>O Imposto sobre a Propriedade Predial e Territorial Urbana - IPTU do exercício de 2025 terá desconto de até quinze por cento do valor lançado para pagamento na primeira cota única e dez por cento na segunda cota única.</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56 - </w:t>
      </w:r>
      <w:r w:rsidRPr="00112E2B">
        <w:rPr>
          <w:rFonts w:ascii="Arial" w:hAnsi="Arial" w:cs="Arial"/>
          <w:snapToGrid w:val="0"/>
        </w:rPr>
        <w:t>Na previsão da receita para o exercício financeiro de 2025 serão observados os incentivos e os benefícios fiscais estabelecidos pelas Leis Municipais de Isenções e de Incentivo à Industrialização, se atendidas às exigências do Artigo 14, da Lei Complementar nº 101/2000 - LRF, conforme detalhado no Anexo de Metas Fiscais - Estimativa e Compensação da Renúncia de Receita.</w:t>
      </w:r>
    </w:p>
    <w:p w:rsidR="00C16616" w:rsidRPr="00112E2B" w:rsidRDefault="00C16616" w:rsidP="00C16616">
      <w:pPr>
        <w:widowControl w:val="0"/>
        <w:tabs>
          <w:tab w:val="left" w:pos="2410"/>
        </w:tabs>
        <w:jc w:val="both"/>
        <w:rPr>
          <w:rFonts w:ascii="Arial" w:hAnsi="Arial" w:cs="Arial"/>
        </w:rPr>
      </w:pPr>
    </w:p>
    <w:p w:rsidR="00C16616" w:rsidRPr="00112E2B" w:rsidRDefault="00C16616" w:rsidP="00C16616">
      <w:pPr>
        <w:tabs>
          <w:tab w:val="left" w:pos="1418"/>
        </w:tabs>
        <w:autoSpaceDE w:val="0"/>
        <w:autoSpaceDN w:val="0"/>
        <w:adjustRightInd w:val="0"/>
        <w:jc w:val="both"/>
        <w:rPr>
          <w:rFonts w:ascii="Arial" w:hAnsi="Arial" w:cs="Arial"/>
        </w:rPr>
      </w:pPr>
      <w:r w:rsidRPr="00112E2B">
        <w:rPr>
          <w:rFonts w:ascii="Arial" w:hAnsi="Arial" w:cs="Arial"/>
          <w:b/>
        </w:rPr>
        <w:t>Artigo 57 -</w:t>
      </w:r>
      <w:r w:rsidRPr="00112E2B">
        <w:rPr>
          <w:rFonts w:ascii="Arial" w:hAnsi="Arial" w:cs="Arial"/>
        </w:rPr>
        <w:t xml:space="preserve">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deverão atender ao disposto no Artigo 14 da Lei Complementar Federal nº 101, de 2000, devendo ser instruídos com demonstrativo evidenciando que não serão afetadas as metas de resultado nominal e primário.</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rPr>
      </w:pPr>
      <w:r w:rsidRPr="00112E2B">
        <w:rPr>
          <w:rFonts w:ascii="Arial" w:hAnsi="Arial" w:cs="Arial"/>
          <w:b/>
          <w:snapToGrid w:val="0"/>
        </w:rPr>
        <w:t xml:space="preserve">Artigo 58 - </w:t>
      </w:r>
      <w:r w:rsidRPr="00112E2B">
        <w:rPr>
          <w:rFonts w:ascii="Arial" w:hAnsi="Arial" w:cs="Arial"/>
        </w:rPr>
        <w:t>Os tributos lançados e não arrecadados, inscritos em dívida ativa, cujos custos para cobrança sejam superiores ao crédito tributário, poderão ser cancelados, mediante autorização em Lei, não se constituindo como renúncia de receita para efeito do disposto no Artigo 14, § 3</w:t>
      </w:r>
      <w:r w:rsidRPr="00112E2B">
        <w:rPr>
          <w:rFonts w:ascii="Arial" w:hAnsi="Arial" w:cs="Arial"/>
          <w:u w:val="single"/>
          <w:vertAlign w:val="superscript"/>
        </w:rPr>
        <w:t>o</w:t>
      </w:r>
      <w:r w:rsidRPr="00112E2B">
        <w:rPr>
          <w:rFonts w:ascii="Arial" w:hAnsi="Arial" w:cs="Arial"/>
        </w:rPr>
        <w:t>, II, da LRF.</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pStyle w:val="Ttulo1"/>
        <w:jc w:val="both"/>
      </w:pPr>
      <w:r w:rsidRPr="00112E2B">
        <w:t>CAPÍTULO VII</w:t>
      </w: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DISPOSIÇÕES RELATIVAS À DÍVIDA PÚBLICA MUNICIPAL</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lastRenderedPageBreak/>
        <w:t xml:space="preserve">Artigo 59 - </w:t>
      </w:r>
      <w:r w:rsidRPr="00112E2B">
        <w:rPr>
          <w:rFonts w:ascii="Arial" w:hAnsi="Arial" w:cs="Arial"/>
          <w:snapToGrid w:val="0"/>
        </w:rPr>
        <w:t>O Orçamento da Administração Direta deverá destinar recursos ao pagamento do serviço da dívida municipal.</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jc w:val="both"/>
        <w:rPr>
          <w:rFonts w:ascii="Arial" w:hAnsi="Arial" w:cs="Arial"/>
          <w:snapToGrid w:val="0"/>
        </w:rPr>
      </w:pPr>
      <w:r w:rsidRPr="00112E2B">
        <w:rPr>
          <w:rFonts w:ascii="Arial" w:hAnsi="Arial" w:cs="Arial"/>
          <w:b/>
          <w:snapToGrid w:val="0"/>
        </w:rPr>
        <w:t xml:space="preserve">Parágrafo único - </w:t>
      </w:r>
      <w:r w:rsidRPr="00112E2B">
        <w:rPr>
          <w:rFonts w:ascii="Arial" w:hAnsi="Arial" w:cs="Arial"/>
          <w:snapToGrid w:val="0"/>
        </w:rPr>
        <w:t>Serão destinados recursos para o atendimento de despesas com juros, com outros encargos e com amortização da dívida somente às operações contratadas até 30 de junho do corrente exercício financeiro.</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CAPÍTULO VIII</w:t>
      </w:r>
    </w:p>
    <w:p w:rsidR="00C16616" w:rsidRPr="00112E2B" w:rsidRDefault="00C16616" w:rsidP="00C16616">
      <w:pPr>
        <w:widowControl w:val="0"/>
        <w:jc w:val="both"/>
        <w:rPr>
          <w:rFonts w:ascii="Arial" w:hAnsi="Arial" w:cs="Arial"/>
          <w:b/>
          <w:snapToGrid w:val="0"/>
        </w:rPr>
      </w:pPr>
      <w:r w:rsidRPr="00112E2B">
        <w:rPr>
          <w:rFonts w:ascii="Arial" w:hAnsi="Arial" w:cs="Arial"/>
          <w:b/>
          <w:snapToGrid w:val="0"/>
        </w:rPr>
        <w:t>DISPOSIÇÕES FINAIS</w:t>
      </w:r>
    </w:p>
    <w:p w:rsidR="00C16616" w:rsidRPr="00112E2B" w:rsidRDefault="00C16616" w:rsidP="00C16616">
      <w:pPr>
        <w:widowControl w:val="0"/>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60 - </w:t>
      </w:r>
      <w:r w:rsidRPr="00112E2B">
        <w:rPr>
          <w:rFonts w:ascii="Arial" w:hAnsi="Arial" w:cs="Arial"/>
          <w:snapToGrid w:val="0"/>
        </w:rPr>
        <w:t>Cabe à Assessoria de Planejamento a responsabilidade pela coordenação da elaboração e da consolidação do projeto de lei orçamentária, de que trata esta lei.</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jc w:val="both"/>
        <w:rPr>
          <w:rFonts w:ascii="Arial" w:hAnsi="Arial" w:cs="Arial"/>
        </w:rPr>
      </w:pPr>
      <w:r w:rsidRPr="00112E2B">
        <w:rPr>
          <w:rFonts w:ascii="Arial" w:hAnsi="Arial" w:cs="Arial"/>
          <w:b/>
        </w:rPr>
        <w:t>Parágrafo único -</w:t>
      </w:r>
      <w:r w:rsidRPr="00112E2B">
        <w:rPr>
          <w:rFonts w:ascii="Arial" w:hAnsi="Arial" w:cs="Arial"/>
        </w:rPr>
        <w:t xml:space="preserve"> A Assessoria de Planejamento determinará sobre:</w:t>
      </w:r>
    </w:p>
    <w:p w:rsidR="00C16616" w:rsidRPr="00112E2B" w:rsidRDefault="00C16616" w:rsidP="00C16616">
      <w:pPr>
        <w:jc w:val="both"/>
        <w:rPr>
          <w:rFonts w:ascii="Arial" w:hAnsi="Arial" w:cs="Arial"/>
        </w:rPr>
      </w:pPr>
      <w:r w:rsidRPr="00112E2B">
        <w:rPr>
          <w:rFonts w:ascii="Arial" w:hAnsi="Arial" w:cs="Arial"/>
          <w:b/>
        </w:rPr>
        <w:t xml:space="preserve">I </w:t>
      </w:r>
      <w:r w:rsidRPr="00112E2B">
        <w:rPr>
          <w:rFonts w:ascii="Arial" w:hAnsi="Arial" w:cs="Arial"/>
        </w:rPr>
        <w:t>- o calendário das atividades para a elaboração dos orçamentos;</w:t>
      </w:r>
    </w:p>
    <w:p w:rsidR="00C16616" w:rsidRPr="00112E2B" w:rsidRDefault="00C16616" w:rsidP="00C16616">
      <w:pPr>
        <w:jc w:val="both"/>
        <w:rPr>
          <w:rFonts w:ascii="Arial" w:hAnsi="Arial" w:cs="Arial"/>
        </w:rPr>
      </w:pPr>
      <w:r w:rsidRPr="00112E2B">
        <w:rPr>
          <w:rFonts w:ascii="Arial" w:hAnsi="Arial" w:cs="Arial"/>
          <w:b/>
        </w:rPr>
        <w:t>II</w:t>
      </w:r>
      <w:r w:rsidRPr="00112E2B">
        <w:rPr>
          <w:rFonts w:ascii="Arial" w:hAnsi="Arial" w:cs="Arial"/>
        </w:rPr>
        <w:t xml:space="preserve"> - a elaboração e a distribuição do material que compõe as propostas parciais do Orçamento Anual dos Poderes Legislativo e Executivo e dos Fundos do Município; e</w:t>
      </w:r>
    </w:p>
    <w:p w:rsidR="00C16616" w:rsidRPr="00112E2B" w:rsidRDefault="00C16616" w:rsidP="00C16616">
      <w:pPr>
        <w:jc w:val="both"/>
        <w:rPr>
          <w:rFonts w:ascii="Arial" w:hAnsi="Arial" w:cs="Arial"/>
        </w:rPr>
      </w:pPr>
      <w:r w:rsidRPr="00112E2B">
        <w:rPr>
          <w:rFonts w:ascii="Arial" w:hAnsi="Arial" w:cs="Arial"/>
          <w:b/>
        </w:rPr>
        <w:t>III</w:t>
      </w:r>
      <w:r w:rsidRPr="00112E2B">
        <w:rPr>
          <w:rFonts w:ascii="Arial" w:hAnsi="Arial" w:cs="Arial"/>
        </w:rPr>
        <w:t xml:space="preserve"> - as instruções para o devido preenchimento das propostas parciais dos orçamentos de que trata esta lei.</w:t>
      </w:r>
    </w:p>
    <w:p w:rsidR="00C16616" w:rsidRPr="00112E2B" w:rsidRDefault="00C16616" w:rsidP="00C16616">
      <w:pPr>
        <w:jc w:val="both"/>
        <w:rPr>
          <w:rFonts w:ascii="Arial" w:hAnsi="Arial" w:cs="Arial"/>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Artigo 61 -</w:t>
      </w:r>
      <w:r w:rsidRPr="00112E2B">
        <w:rPr>
          <w:rFonts w:ascii="Arial" w:hAnsi="Arial" w:cs="Arial"/>
          <w:snapToGrid w:val="0"/>
        </w:rPr>
        <w:t xml:space="preserve"> Para os efeitos do disposto no Artigo 16, da Lei Complementar nº 101/2000 - LRF:</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 xml:space="preserve">I </w:t>
      </w:r>
      <w:r w:rsidRPr="00112E2B">
        <w:rPr>
          <w:rFonts w:ascii="Arial" w:hAnsi="Arial" w:cs="Arial"/>
          <w:snapToGrid w:val="0"/>
        </w:rPr>
        <w:t>- as especificações nele contidas integrarão o processo administrativo de que trata o Artigo 11 ao 17 da Lei nº 14.133/2021, bem como os procedimentos de desapropriação de imóveis urbanos a que se refere o Artigo 182, § 3º, da Constituição Federal; e</w:t>
      </w:r>
    </w:p>
    <w:p w:rsidR="00C16616" w:rsidRPr="00112E2B" w:rsidRDefault="00C16616" w:rsidP="00C16616">
      <w:pPr>
        <w:widowControl w:val="0"/>
        <w:tabs>
          <w:tab w:val="left" w:pos="2410"/>
        </w:tabs>
        <w:jc w:val="both"/>
        <w:rPr>
          <w:rFonts w:ascii="Arial" w:hAnsi="Arial" w:cs="Arial"/>
          <w:snapToGrid w:val="0"/>
        </w:rPr>
      </w:pPr>
      <w:r w:rsidRPr="00112E2B">
        <w:rPr>
          <w:rFonts w:ascii="Arial" w:hAnsi="Arial" w:cs="Arial"/>
          <w:b/>
          <w:snapToGrid w:val="0"/>
        </w:rPr>
        <w:t>II</w:t>
      </w:r>
      <w:r w:rsidRPr="00112E2B">
        <w:rPr>
          <w:rFonts w:ascii="Arial" w:hAnsi="Arial" w:cs="Arial"/>
          <w:snapToGrid w:val="0"/>
        </w:rPr>
        <w:t xml:space="preserve"> - as despesas irrelevantes, conforme disposto no Artigo 16, § 3º, da Lei Complementar nº 101/2000 - LRF, são aquelas cujo valor não ultrapasse, para bens e serviços, os limites dos incisos do Artigo 75 da Lei nº 14.133/2021 e suas alterações.</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62 - </w:t>
      </w:r>
      <w:r w:rsidRPr="00112E2B">
        <w:rPr>
          <w:rFonts w:ascii="Arial" w:hAnsi="Arial" w:cs="Arial"/>
          <w:snapToGrid w:val="0"/>
        </w:rPr>
        <w:t xml:space="preserve">São vedados quaisquer procedimentos, pelos ordenadores de despesas, que possibilitem a execução destas </w:t>
      </w:r>
      <w:r w:rsidRPr="00112E2B">
        <w:rPr>
          <w:rFonts w:ascii="Arial" w:hAnsi="Arial" w:cs="Arial"/>
        </w:rPr>
        <w:t>sem comprovada e suficiente disponibilidade de dotação orçamentária,</w:t>
      </w:r>
      <w:r w:rsidRPr="00112E2B">
        <w:rPr>
          <w:rFonts w:ascii="Arial" w:hAnsi="Arial" w:cs="Arial"/>
          <w:snapToGrid w:val="0"/>
        </w:rPr>
        <w:t xml:space="preserve"> em cumprimento aos art. 15 e 16 da Lei Complementar nº 101/2000 - LRF.</w:t>
      </w:r>
    </w:p>
    <w:p w:rsidR="00C16616" w:rsidRPr="00112E2B" w:rsidRDefault="00C16616" w:rsidP="00C16616">
      <w:pPr>
        <w:widowControl w:val="0"/>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63 - </w:t>
      </w:r>
      <w:r w:rsidRPr="00112E2B">
        <w:rPr>
          <w:rFonts w:ascii="Arial" w:hAnsi="Arial" w:cs="Arial"/>
          <w:snapToGrid w:val="0"/>
        </w:rPr>
        <w:t>Os valores das metas fiscais, em anexo, devem ser considerados como indicativo e, para tanto, ficam admitidas variações de forma a acomodar a trajetória que as determine até o envio do projeto de lei orçamentária de 2025 ao Legislativo Municipal.</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64 - </w:t>
      </w:r>
      <w:r w:rsidRPr="00112E2B">
        <w:rPr>
          <w:rFonts w:ascii="Arial" w:hAnsi="Arial" w:cs="Arial"/>
          <w:snapToGrid w:val="0"/>
        </w:rPr>
        <w:t>A execução orçamentária dos órgãos da administração constantes do orçamento fiscal será processada por meio de sistema informatizado único.</w:t>
      </w:r>
    </w:p>
    <w:p w:rsidR="00C16616" w:rsidRPr="00112E2B" w:rsidRDefault="00C16616" w:rsidP="00C16616">
      <w:pPr>
        <w:widowControl w:val="0"/>
        <w:jc w:val="both"/>
        <w:rPr>
          <w:rFonts w:ascii="Arial" w:hAnsi="Arial" w:cs="Arial"/>
        </w:rPr>
      </w:pPr>
    </w:p>
    <w:p w:rsidR="00C16616" w:rsidRPr="00112E2B" w:rsidRDefault="00C16616" w:rsidP="00C16616">
      <w:pPr>
        <w:tabs>
          <w:tab w:val="left" w:pos="1418"/>
        </w:tabs>
        <w:autoSpaceDE w:val="0"/>
        <w:autoSpaceDN w:val="0"/>
        <w:adjustRightInd w:val="0"/>
        <w:jc w:val="both"/>
        <w:rPr>
          <w:rFonts w:ascii="Arial" w:hAnsi="Arial" w:cs="Arial"/>
        </w:rPr>
      </w:pPr>
      <w:r w:rsidRPr="00112E2B">
        <w:rPr>
          <w:rFonts w:ascii="Arial" w:hAnsi="Arial" w:cs="Arial"/>
          <w:b/>
          <w:snapToGrid w:val="0"/>
        </w:rPr>
        <w:t xml:space="preserve">Artigo 65 - </w:t>
      </w:r>
      <w:r w:rsidRPr="00112E2B">
        <w:rPr>
          <w:rFonts w:ascii="Arial" w:hAnsi="Arial" w:cs="Arial"/>
        </w:rPr>
        <w:t xml:space="preserve">Para efeito do disposto no Artigo 42, da </w:t>
      </w:r>
      <w:r w:rsidRPr="00112E2B">
        <w:rPr>
          <w:rFonts w:ascii="Arial" w:hAnsi="Arial" w:cs="Arial"/>
          <w:snapToGrid w:val="0"/>
        </w:rPr>
        <w:t xml:space="preserve">Lei Complementar nº 101/2000 - LRF, </w:t>
      </w:r>
      <w:r w:rsidRPr="00112E2B">
        <w:rPr>
          <w:rFonts w:ascii="Arial" w:hAnsi="Arial" w:cs="Arial"/>
        </w:rPr>
        <w:t>considera-se contraída a obrigação no momento da formalização do contrato administrativo ou instrumento congênere.</w:t>
      </w:r>
    </w:p>
    <w:p w:rsidR="00C16616" w:rsidRPr="00112E2B" w:rsidRDefault="00C16616" w:rsidP="00C16616">
      <w:pPr>
        <w:autoSpaceDE w:val="0"/>
        <w:autoSpaceDN w:val="0"/>
        <w:adjustRightInd w:val="0"/>
        <w:jc w:val="both"/>
        <w:rPr>
          <w:rFonts w:ascii="Arial" w:hAnsi="Arial" w:cs="Arial"/>
        </w:rPr>
      </w:pPr>
    </w:p>
    <w:p w:rsidR="00C16616" w:rsidRPr="00112E2B" w:rsidRDefault="00C16616" w:rsidP="00C16616">
      <w:pPr>
        <w:autoSpaceDE w:val="0"/>
        <w:autoSpaceDN w:val="0"/>
        <w:adjustRightInd w:val="0"/>
        <w:jc w:val="both"/>
        <w:rPr>
          <w:rFonts w:ascii="Arial" w:hAnsi="Arial" w:cs="Arial"/>
        </w:rPr>
      </w:pPr>
      <w:r w:rsidRPr="00112E2B">
        <w:rPr>
          <w:rFonts w:ascii="Arial" w:hAnsi="Arial" w:cs="Arial"/>
          <w:b/>
        </w:rPr>
        <w:lastRenderedPageBreak/>
        <w:t>Parágrafo único -</w:t>
      </w:r>
      <w:r w:rsidRPr="00112E2B">
        <w:rPr>
          <w:rFonts w:ascii="Arial" w:hAnsi="Arial" w:cs="Arial"/>
        </w:rPr>
        <w:t xml:space="preserve"> No caso de despesas relativas à prestação de serviços já existentes e destinados à manutenção da Administração Pública Municipal, consideram-se como compromissadas apenas as prestações cujo pagamento deva se verificar no exercício financeiro, observado o cronograma pactuado.</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66 - </w:t>
      </w:r>
      <w:r w:rsidRPr="00112E2B">
        <w:rPr>
          <w:rFonts w:ascii="Arial" w:hAnsi="Arial" w:cs="Arial"/>
          <w:snapToGrid w:val="0"/>
        </w:rPr>
        <w:t>A Assessoria de Planejamento divulgará no prazo de trinta dias após a publicação da Lei Orçamentária Anual, o Quadro de Detalhamento da Despesa - QDD, especificando-o por atividades, projetos e operações especiais, em cada unidade orçamentária contida no Orçamento Fiscal, bem como as demais normas para a execução orçamentária.</w:t>
      </w: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67 - </w:t>
      </w:r>
      <w:r w:rsidRPr="00112E2B">
        <w:rPr>
          <w:rFonts w:ascii="Arial" w:hAnsi="Arial" w:cs="Arial"/>
          <w:snapToGrid w:val="0"/>
        </w:rPr>
        <w:t>Cabe ao Órgão de Controle Interno do Município a responsabilidade pela apuração dos resultados primário e nominal para fins de avaliação do cumprimento das metas fiscais previstas nesta lei, em atendimento ao Artigo 9º e parágrafos da Lei Complementar nº 101/2000 - LRF.</w:t>
      </w:r>
    </w:p>
    <w:p w:rsidR="00C16616" w:rsidRPr="00112E2B" w:rsidRDefault="00C16616" w:rsidP="00C16616">
      <w:pPr>
        <w:widowControl w:val="0"/>
        <w:tabs>
          <w:tab w:val="left" w:pos="2410"/>
        </w:tabs>
        <w:jc w:val="both"/>
        <w:rPr>
          <w:rFonts w:ascii="Arial" w:hAnsi="Arial" w:cs="Arial"/>
          <w:snapToGrid w:val="0"/>
        </w:rPr>
      </w:pPr>
    </w:p>
    <w:p w:rsidR="00C16616" w:rsidRPr="00112E2B" w:rsidRDefault="00C16616" w:rsidP="00C16616">
      <w:pPr>
        <w:tabs>
          <w:tab w:val="left" w:pos="1418"/>
        </w:tabs>
        <w:jc w:val="both"/>
        <w:rPr>
          <w:rFonts w:ascii="Arial" w:hAnsi="Arial" w:cs="Arial"/>
        </w:rPr>
      </w:pPr>
      <w:r w:rsidRPr="00112E2B">
        <w:rPr>
          <w:rFonts w:ascii="Arial" w:hAnsi="Arial" w:cs="Arial"/>
          <w:b/>
          <w:snapToGrid w:val="0"/>
        </w:rPr>
        <w:t xml:space="preserve">Artigo 68 - </w:t>
      </w:r>
      <w:r w:rsidRPr="00112E2B">
        <w:rPr>
          <w:rFonts w:ascii="Arial" w:hAnsi="Arial" w:cs="Arial"/>
        </w:rPr>
        <w:t>Os recursos decorrentes de emendas que ficarem sem despesas correspondentes ou que alterem os valores da receita orçamentária poderão ser utilizados mediante créditos adicionais suplementares e especiais com prévia e específica autorização legislativa, nos termos do Artigo 166, § 8º da Constituição Federal.</w:t>
      </w:r>
    </w:p>
    <w:p w:rsidR="00C16616" w:rsidRPr="00112E2B" w:rsidRDefault="00C16616" w:rsidP="00C16616">
      <w:pPr>
        <w:widowControl w:val="0"/>
        <w:tabs>
          <w:tab w:val="left" w:pos="1418"/>
        </w:tabs>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69 - </w:t>
      </w:r>
      <w:r w:rsidRPr="00112E2B">
        <w:rPr>
          <w:rFonts w:ascii="Arial" w:hAnsi="Arial" w:cs="Arial"/>
          <w:snapToGrid w:val="0"/>
        </w:rPr>
        <w:t>No caso de reprovação ou não aprovação dentro do exercício financeiro do Projeto de Lei orçamentária anual, fica autorizado aos poderes a executarem o duodécimo do referido projeto.</w:t>
      </w:r>
    </w:p>
    <w:p w:rsidR="00C16616" w:rsidRPr="00112E2B" w:rsidRDefault="00C16616" w:rsidP="00C16616">
      <w:pPr>
        <w:widowControl w:val="0"/>
        <w:tabs>
          <w:tab w:val="left" w:pos="1418"/>
        </w:tabs>
        <w:jc w:val="both"/>
        <w:rPr>
          <w:rFonts w:ascii="Arial" w:hAnsi="Arial" w:cs="Arial"/>
          <w:b/>
          <w:snapToGrid w:val="0"/>
        </w:rPr>
      </w:pPr>
    </w:p>
    <w:p w:rsidR="00C16616" w:rsidRPr="00112E2B" w:rsidRDefault="00C16616" w:rsidP="00C16616">
      <w:pPr>
        <w:widowControl w:val="0"/>
        <w:tabs>
          <w:tab w:val="left" w:pos="1418"/>
        </w:tabs>
        <w:jc w:val="both"/>
        <w:rPr>
          <w:rFonts w:ascii="Arial" w:hAnsi="Arial" w:cs="Arial"/>
          <w:snapToGrid w:val="0"/>
        </w:rPr>
      </w:pPr>
      <w:r w:rsidRPr="00112E2B">
        <w:rPr>
          <w:rFonts w:ascii="Arial" w:hAnsi="Arial" w:cs="Arial"/>
          <w:b/>
          <w:snapToGrid w:val="0"/>
        </w:rPr>
        <w:t xml:space="preserve">Artigo 70 - </w:t>
      </w:r>
      <w:r w:rsidRPr="00112E2B">
        <w:rPr>
          <w:rFonts w:ascii="Arial" w:hAnsi="Arial" w:cs="Arial"/>
          <w:snapToGrid w:val="0"/>
        </w:rPr>
        <w:t>Esta lei entrará em vigor na data de sua publicação, revogadas as disposições em contrário.</w:t>
      </w:r>
    </w:p>
    <w:p w:rsidR="00C16616" w:rsidRPr="00112E2B" w:rsidRDefault="00C16616" w:rsidP="00C16616">
      <w:pPr>
        <w:jc w:val="both"/>
        <w:rPr>
          <w:rFonts w:ascii="Arial" w:hAnsi="Arial" w:cs="Arial"/>
          <w:color w:val="000000" w:themeColor="text1"/>
        </w:rPr>
      </w:pPr>
    </w:p>
    <w:p w:rsidR="00C16616" w:rsidRPr="003C66FD" w:rsidRDefault="00C16616" w:rsidP="00C16616">
      <w:pPr>
        <w:jc w:val="both"/>
        <w:rPr>
          <w:rFonts w:ascii="Arial" w:hAnsi="Arial" w:cs="Arial"/>
        </w:rPr>
      </w:pPr>
    </w:p>
    <w:p w:rsidR="00C16616" w:rsidRPr="003C66FD" w:rsidRDefault="00C16616" w:rsidP="00C16616">
      <w:pPr>
        <w:jc w:val="both"/>
        <w:rPr>
          <w:rFonts w:ascii="Arial" w:hAnsi="Arial" w:cs="Arial"/>
        </w:rPr>
      </w:pPr>
    </w:p>
    <w:p w:rsidR="00C16616" w:rsidRPr="003C66FD" w:rsidRDefault="00C16616" w:rsidP="00C16616">
      <w:pPr>
        <w:jc w:val="both"/>
        <w:rPr>
          <w:rFonts w:ascii="Arial" w:hAnsi="Arial" w:cs="Arial"/>
        </w:rPr>
      </w:pPr>
      <w:r w:rsidRPr="003C66FD">
        <w:rPr>
          <w:rFonts w:ascii="Arial" w:hAnsi="Arial" w:cs="Arial"/>
        </w:rPr>
        <w:t>GABINETE DO PREFEITO DO MUNICÍPIO DE PORECATU, Estado do Pa</w:t>
      </w:r>
      <w:r>
        <w:rPr>
          <w:rFonts w:ascii="Arial" w:hAnsi="Arial" w:cs="Arial"/>
        </w:rPr>
        <w:t>raná, aos nove dias do mês de julho</w:t>
      </w:r>
      <w:r w:rsidRPr="003C66FD">
        <w:rPr>
          <w:rFonts w:ascii="Arial" w:hAnsi="Arial" w:cs="Arial"/>
        </w:rPr>
        <w:t xml:space="preserve"> do ano de dois mil e vinte e quatro (</w:t>
      </w:r>
      <w:r>
        <w:rPr>
          <w:rFonts w:ascii="Arial" w:hAnsi="Arial" w:cs="Arial"/>
        </w:rPr>
        <w:t>09.07.2024</w:t>
      </w:r>
      <w:r w:rsidRPr="003C66FD">
        <w:rPr>
          <w:rFonts w:ascii="Arial" w:hAnsi="Arial" w:cs="Arial"/>
        </w:rPr>
        <w:t>).</w:t>
      </w:r>
    </w:p>
    <w:p w:rsidR="00C16616" w:rsidRPr="003C66FD" w:rsidRDefault="00C16616" w:rsidP="00C16616">
      <w:pPr>
        <w:jc w:val="both"/>
        <w:rPr>
          <w:rFonts w:ascii="Arial" w:hAnsi="Arial" w:cs="Arial"/>
        </w:rPr>
      </w:pPr>
    </w:p>
    <w:p w:rsidR="00C16616" w:rsidRPr="003C66FD" w:rsidRDefault="00C16616" w:rsidP="00C16616">
      <w:pPr>
        <w:jc w:val="both"/>
        <w:rPr>
          <w:rFonts w:ascii="Arial" w:hAnsi="Arial" w:cs="Arial"/>
        </w:rPr>
      </w:pPr>
      <w:bookmarkStart w:id="0" w:name="_GoBack"/>
      <w:bookmarkEnd w:id="0"/>
    </w:p>
    <w:p w:rsidR="00C16616" w:rsidRPr="003C66FD" w:rsidRDefault="00C16616" w:rsidP="00C16616">
      <w:pPr>
        <w:jc w:val="both"/>
        <w:rPr>
          <w:rFonts w:ascii="Arial" w:hAnsi="Arial" w:cs="Arial"/>
        </w:rPr>
      </w:pPr>
    </w:p>
    <w:p w:rsidR="00C16616" w:rsidRPr="003C66FD" w:rsidRDefault="00C16616" w:rsidP="00C16616">
      <w:pPr>
        <w:tabs>
          <w:tab w:val="left" w:pos="1346"/>
        </w:tabs>
        <w:jc w:val="both"/>
        <w:rPr>
          <w:rFonts w:ascii="Arial" w:hAnsi="Arial" w:cs="Arial"/>
        </w:rPr>
      </w:pPr>
    </w:p>
    <w:p w:rsidR="00C16616" w:rsidRDefault="00C16616" w:rsidP="00C16616">
      <w:pPr>
        <w:tabs>
          <w:tab w:val="left" w:pos="1346"/>
        </w:tabs>
        <w:rPr>
          <w:rFonts w:ascii="Arial" w:hAnsi="Arial" w:cs="Arial"/>
        </w:rPr>
      </w:pPr>
    </w:p>
    <w:p w:rsidR="00C16616" w:rsidRDefault="00C16616" w:rsidP="00C16616">
      <w:pPr>
        <w:tabs>
          <w:tab w:val="left" w:pos="1346"/>
        </w:tabs>
        <w:rPr>
          <w:rFonts w:ascii="Arial" w:hAnsi="Arial" w:cs="Arial"/>
        </w:rPr>
      </w:pPr>
    </w:p>
    <w:p w:rsidR="00C16616" w:rsidRPr="003C66FD" w:rsidRDefault="00C16616" w:rsidP="00C16616">
      <w:pPr>
        <w:tabs>
          <w:tab w:val="left" w:pos="1346"/>
        </w:tabs>
        <w:rPr>
          <w:rFonts w:ascii="Arial" w:hAnsi="Arial" w:cs="Arial"/>
        </w:rPr>
      </w:pPr>
    </w:p>
    <w:p w:rsidR="00C16616" w:rsidRPr="003C66FD" w:rsidRDefault="00C16616" w:rsidP="00C16616">
      <w:pPr>
        <w:pStyle w:val="Recuodecorpodetexto"/>
        <w:ind w:left="0"/>
        <w:jc w:val="center"/>
        <w:rPr>
          <w:rFonts w:ascii="Arial" w:hAnsi="Arial" w:cs="Arial"/>
          <w:b/>
        </w:rPr>
      </w:pPr>
      <w:r w:rsidRPr="003C66FD">
        <w:rPr>
          <w:rFonts w:ascii="Arial" w:hAnsi="Arial" w:cs="Arial"/>
          <w:b/>
        </w:rPr>
        <w:t>Fabio Luiz Andrade</w:t>
      </w:r>
    </w:p>
    <w:p w:rsidR="00C16616" w:rsidRDefault="00C16616" w:rsidP="00C16616">
      <w:pPr>
        <w:pStyle w:val="Recuodecorpodetexto"/>
        <w:ind w:left="0"/>
        <w:jc w:val="center"/>
      </w:pPr>
      <w:r w:rsidRPr="003C66FD">
        <w:rPr>
          <w:rFonts w:ascii="Arial" w:hAnsi="Arial" w:cs="Arial"/>
        </w:rPr>
        <w:t>PREFEITO</w:t>
      </w:r>
    </w:p>
    <w:p w:rsidR="00C16616" w:rsidRDefault="00C16616" w:rsidP="00C16616"/>
    <w:p w:rsidR="00D36551" w:rsidRDefault="00D36551"/>
    <w:sectPr w:rsidR="00D36551" w:rsidSect="00F079AC">
      <w:headerReference w:type="default" r:id="rId5"/>
      <w:pgSz w:w="11907" w:h="16840" w:code="9"/>
      <w:pgMar w:top="1701" w:right="1134" w:bottom="567" w:left="1871" w:header="851" w:footer="0" w:gutter="0"/>
      <w:paperSrc w:first="7" w:other="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7" w:usb1="00000000" w:usb2="00000000" w:usb3="00000000" w:csb0="00000011" w:csb1="00000000"/>
  </w:font>
  <w:font w:name="Humanst521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AC" w:rsidRDefault="002613E7" w:rsidP="00F079AC">
    <w:pPr>
      <w:pStyle w:val="Cabealho"/>
      <w:framePr w:hSpace="180" w:wrap="around" w:vAnchor="text" w:hAnchor="page" w:x="8301" w:y="-530"/>
      <w:rPr>
        <w:sz w:val="22"/>
      </w:rPr>
    </w:pPr>
    <w:r w:rsidRPr="004730A0">
      <w:rPr>
        <w:noProof/>
        <w:sz w:val="20"/>
      </w:rPr>
      <w:pict>
        <v:rect id="Rectangle 2" o:spid="_x0000_s1025" style="position:absolute;margin-left:64.55pt;margin-top:21.4pt;width:66pt;height:1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" filled="f" stroked="f">
          <v:textbox style="mso-next-textbox:#Rectangle 2" inset="1pt,1pt,1pt,1pt">
            <w:txbxContent>
              <w:p w:rsidR="00F079AC" w:rsidRPr="00582CB7" w:rsidRDefault="002613E7">
                <w:pPr>
                  <w:jc w:val="center"/>
                  <w:rPr>
                    <w:rFonts w:ascii="AvantGarde Bk BT" w:hAnsi="AvantGarde Bk BT"/>
                    <w:b/>
                  </w:rPr>
                </w:pPr>
                <w:r w:rsidRPr="00582CB7">
                  <w:rPr>
                    <w:rFonts w:ascii="AvantGarde Bk BT" w:hAnsi="AvantGarde Bk BT"/>
                    <w:b/>
                  </w:rPr>
                  <w:t>PARANÁ</w:t>
                </w:r>
              </w:p>
            </w:txbxContent>
          </v:textbox>
        </v:rect>
      </w:pict>
    </w:r>
    <w:r>
      <w:rPr>
        <w:noProof/>
      </w:rPr>
      <w:drawing>
        <wp:inline distT="0" distB="0" distL="0" distR="0">
          <wp:extent cx="847725" cy="771525"/>
          <wp:effectExtent l="0" t="0" r="9525" b="9525"/>
          <wp:docPr id="1"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inline>
      </w:drawing>
    </w:r>
  </w:p>
  <w:p w:rsidR="00F079AC" w:rsidRDefault="002613E7" w:rsidP="00F079AC">
    <w:pPr>
      <w:pStyle w:val="Cabealho"/>
      <w:tabs>
        <w:tab w:val="clear" w:pos="4320"/>
        <w:tab w:val="clear" w:pos="8640"/>
        <w:tab w:val="left" w:pos="7260"/>
      </w:tabs>
      <w:rPr>
        <w:sz w:val="22"/>
      </w:rPr>
    </w:pPr>
    <w:r w:rsidRPr="004730A0">
      <w:rPr>
        <w:noProof/>
        <w:sz w:val="20"/>
      </w:rPr>
      <w:pict>
        <v:line id="Line 3" o:spid="_x0000_s1026" style="position:absolute;z-index:251661312;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" strokeweight="2pt">
          <v:stroke startarrowwidth="narrow" startarrowlength="short" endarrowwidth="narrow" endarrowlength="short"/>
        </v:line>
      </w:pict>
    </w:r>
    <w:r w:rsidRPr="004730A0">
      <w:rPr>
        <w:noProof/>
        <w:sz w:val="20"/>
      </w:rPr>
      <w:pict>
        <v:rect id="Rectangle 1" o:spid="_x0000_s1027" style="position:absolute;margin-left:-18.55pt;margin-top:-8.55pt;width:34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" filled="f" stroked="f">
          <v:textbox style="mso-next-textbox:#Rectangle 1" inset="1pt,1pt,1pt,1pt">
            <w:txbxContent>
              <w:p w:rsidR="00F079AC" w:rsidRPr="00582CB7" w:rsidRDefault="002613E7">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Pr>
        <w:sz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0A59"/>
    <w:multiLevelType w:val="hybridMultilevel"/>
    <w:tmpl w:val="6632F80C"/>
    <w:lvl w:ilvl="0" w:tplc="1FCE86DC">
      <w:start w:val="1"/>
      <w:numFmt w:val="lowerLetter"/>
      <w:lvlText w:val="%1)"/>
      <w:lvlJc w:val="left"/>
      <w:pPr>
        <w:tabs>
          <w:tab w:val="num" w:pos="2205"/>
        </w:tabs>
        <w:ind w:left="2205" w:hanging="360"/>
      </w:pPr>
      <w:rPr>
        <w:rFonts w:cs="Times New Roman"/>
      </w:rPr>
    </w:lvl>
    <w:lvl w:ilvl="1" w:tplc="42820010" w:tentative="1">
      <w:start w:val="1"/>
      <w:numFmt w:val="lowerLetter"/>
      <w:lvlText w:val="%2."/>
      <w:lvlJc w:val="left"/>
      <w:pPr>
        <w:tabs>
          <w:tab w:val="num" w:pos="2925"/>
        </w:tabs>
        <w:ind w:left="2925" w:hanging="360"/>
      </w:pPr>
      <w:rPr>
        <w:rFonts w:cs="Times New Roman"/>
      </w:rPr>
    </w:lvl>
    <w:lvl w:ilvl="2" w:tplc="B6C638AE" w:tentative="1">
      <w:start w:val="1"/>
      <w:numFmt w:val="lowerRoman"/>
      <w:lvlText w:val="%3."/>
      <w:lvlJc w:val="right"/>
      <w:pPr>
        <w:tabs>
          <w:tab w:val="num" w:pos="3645"/>
        </w:tabs>
        <w:ind w:left="3645" w:hanging="180"/>
      </w:pPr>
      <w:rPr>
        <w:rFonts w:cs="Times New Roman"/>
      </w:rPr>
    </w:lvl>
    <w:lvl w:ilvl="3" w:tplc="BD6ECB90" w:tentative="1">
      <w:start w:val="1"/>
      <w:numFmt w:val="decimal"/>
      <w:lvlText w:val="%4."/>
      <w:lvlJc w:val="left"/>
      <w:pPr>
        <w:tabs>
          <w:tab w:val="num" w:pos="4365"/>
        </w:tabs>
        <w:ind w:left="4365" w:hanging="360"/>
      </w:pPr>
      <w:rPr>
        <w:rFonts w:cs="Times New Roman"/>
      </w:rPr>
    </w:lvl>
    <w:lvl w:ilvl="4" w:tplc="E7600D6A" w:tentative="1">
      <w:start w:val="1"/>
      <w:numFmt w:val="lowerLetter"/>
      <w:lvlText w:val="%5."/>
      <w:lvlJc w:val="left"/>
      <w:pPr>
        <w:tabs>
          <w:tab w:val="num" w:pos="5085"/>
        </w:tabs>
        <w:ind w:left="5085" w:hanging="360"/>
      </w:pPr>
      <w:rPr>
        <w:rFonts w:cs="Times New Roman"/>
      </w:rPr>
    </w:lvl>
    <w:lvl w:ilvl="5" w:tplc="0942ADD0" w:tentative="1">
      <w:start w:val="1"/>
      <w:numFmt w:val="lowerRoman"/>
      <w:lvlText w:val="%6."/>
      <w:lvlJc w:val="right"/>
      <w:pPr>
        <w:tabs>
          <w:tab w:val="num" w:pos="5805"/>
        </w:tabs>
        <w:ind w:left="5805" w:hanging="180"/>
      </w:pPr>
      <w:rPr>
        <w:rFonts w:cs="Times New Roman"/>
      </w:rPr>
    </w:lvl>
    <w:lvl w:ilvl="6" w:tplc="8D489CDE" w:tentative="1">
      <w:start w:val="1"/>
      <w:numFmt w:val="decimal"/>
      <w:lvlText w:val="%7."/>
      <w:lvlJc w:val="left"/>
      <w:pPr>
        <w:tabs>
          <w:tab w:val="num" w:pos="6525"/>
        </w:tabs>
        <w:ind w:left="6525" w:hanging="360"/>
      </w:pPr>
      <w:rPr>
        <w:rFonts w:cs="Times New Roman"/>
      </w:rPr>
    </w:lvl>
    <w:lvl w:ilvl="7" w:tplc="8476210A" w:tentative="1">
      <w:start w:val="1"/>
      <w:numFmt w:val="lowerLetter"/>
      <w:lvlText w:val="%8."/>
      <w:lvlJc w:val="left"/>
      <w:pPr>
        <w:tabs>
          <w:tab w:val="num" w:pos="7245"/>
        </w:tabs>
        <w:ind w:left="7245" w:hanging="360"/>
      </w:pPr>
      <w:rPr>
        <w:rFonts w:cs="Times New Roman"/>
      </w:rPr>
    </w:lvl>
    <w:lvl w:ilvl="8" w:tplc="E6B8DE14" w:tentative="1">
      <w:start w:val="1"/>
      <w:numFmt w:val="lowerRoman"/>
      <w:lvlText w:val="%9."/>
      <w:lvlJc w:val="right"/>
      <w:pPr>
        <w:tabs>
          <w:tab w:val="num" w:pos="7965"/>
        </w:tabs>
        <w:ind w:left="796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C16616"/>
    <w:rsid w:val="000B3612"/>
    <w:rsid w:val="002613E7"/>
    <w:rsid w:val="002F4975"/>
    <w:rsid w:val="00390B8E"/>
    <w:rsid w:val="00553D6C"/>
    <w:rsid w:val="006A20C2"/>
    <w:rsid w:val="009256E8"/>
    <w:rsid w:val="00B10F31"/>
    <w:rsid w:val="00C16616"/>
    <w:rsid w:val="00CC2D51"/>
    <w:rsid w:val="00D36551"/>
    <w:rsid w:val="00F224F5"/>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16"/>
    <w:pPr>
      <w:spacing w:after="0" w:line="240" w:lineRule="auto"/>
    </w:pPr>
    <w:rPr>
      <w:rFonts w:ascii="Times New Roman" w:eastAsia="Times New Roman" w:hAnsi="Times New Roman" w:cs="Times New Roman"/>
      <w:color w:val="000000"/>
      <w:sz w:val="24"/>
      <w:szCs w:val="24"/>
      <w:lang w:eastAsia="pt-BR"/>
    </w:rPr>
  </w:style>
  <w:style w:type="paragraph" w:styleId="Ttulo1">
    <w:name w:val="heading 1"/>
    <w:basedOn w:val="Normal"/>
    <w:next w:val="Normal"/>
    <w:link w:val="Ttulo1Char"/>
    <w:qFormat/>
    <w:rsid w:val="00C16616"/>
    <w:pPr>
      <w:keepNext/>
      <w:autoSpaceDE w:val="0"/>
      <w:autoSpaceDN w:val="0"/>
      <w:adjustRightInd w:val="0"/>
      <w:jc w:val="center"/>
      <w:outlineLvl w:val="0"/>
    </w:pPr>
    <w:rPr>
      <w:rFonts w:ascii="Arial" w:hAnsi="Arial" w:cs="Arial"/>
      <w:b/>
      <w:bCs/>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6616"/>
    <w:rPr>
      <w:rFonts w:ascii="Arial" w:eastAsia="Times New Roman" w:hAnsi="Arial" w:cs="Arial"/>
      <w:b/>
      <w:bCs/>
      <w:sz w:val="24"/>
      <w:szCs w:val="24"/>
      <w:lang w:eastAsia="pt-BR"/>
    </w:rPr>
  </w:style>
  <w:style w:type="paragraph" w:styleId="Cabealho">
    <w:name w:val="header"/>
    <w:basedOn w:val="Normal"/>
    <w:link w:val="CabealhoChar"/>
    <w:rsid w:val="00C16616"/>
    <w:pPr>
      <w:tabs>
        <w:tab w:val="center" w:pos="4320"/>
        <w:tab w:val="right" w:pos="8640"/>
      </w:tabs>
    </w:pPr>
    <w:rPr>
      <w:szCs w:val="20"/>
    </w:rPr>
  </w:style>
  <w:style w:type="character" w:customStyle="1" w:styleId="CabealhoChar">
    <w:name w:val="Cabeçalho Char"/>
    <w:basedOn w:val="Fontepargpadro"/>
    <w:link w:val="Cabealho"/>
    <w:rsid w:val="00C16616"/>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uiPriority w:val="99"/>
    <w:unhideWhenUsed/>
    <w:rsid w:val="00C16616"/>
    <w:pPr>
      <w:spacing w:after="120"/>
      <w:ind w:left="283"/>
    </w:pPr>
  </w:style>
  <w:style w:type="character" w:customStyle="1" w:styleId="RecuodecorpodetextoChar">
    <w:name w:val="Recuo de corpo de texto Char"/>
    <w:basedOn w:val="Fontepargpadro"/>
    <w:link w:val="Recuodecorpodetexto"/>
    <w:uiPriority w:val="99"/>
    <w:rsid w:val="00C16616"/>
    <w:rPr>
      <w:rFonts w:ascii="Times New Roman" w:eastAsia="Times New Roman" w:hAnsi="Times New Roman" w:cs="Times New Roman"/>
      <w:color w:val="000000"/>
      <w:sz w:val="24"/>
      <w:szCs w:val="24"/>
      <w:lang w:eastAsia="pt-BR"/>
    </w:rPr>
  </w:style>
  <w:style w:type="paragraph" w:styleId="NormalWeb">
    <w:name w:val="Normal (Web)"/>
    <w:basedOn w:val="Normal"/>
    <w:semiHidden/>
    <w:unhideWhenUsed/>
    <w:rsid w:val="00C16616"/>
    <w:pPr>
      <w:spacing w:before="100" w:beforeAutospacing="1" w:after="100" w:afterAutospacing="1"/>
    </w:pPr>
    <w:rPr>
      <w:color w:val="auto"/>
    </w:rPr>
  </w:style>
  <w:style w:type="table" w:styleId="Tabelacomgrade">
    <w:name w:val="Table Grid"/>
    <w:basedOn w:val="Tabelanormal"/>
    <w:uiPriority w:val="59"/>
    <w:rsid w:val="00C16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uiPriority w:val="99"/>
    <w:semiHidden/>
    <w:unhideWhenUsed/>
    <w:rsid w:val="00C16616"/>
    <w:pPr>
      <w:spacing w:after="120"/>
      <w:jc w:val="both"/>
    </w:pPr>
    <w:rPr>
      <w:rFonts w:ascii="Courier New" w:hAnsi="Courier New"/>
      <w:color w:val="auto"/>
      <w:sz w:val="16"/>
      <w:szCs w:val="16"/>
    </w:rPr>
  </w:style>
  <w:style w:type="character" w:customStyle="1" w:styleId="Corpodetexto3Char">
    <w:name w:val="Corpo de texto 3 Char"/>
    <w:basedOn w:val="Fontepargpadro"/>
    <w:link w:val="Corpodetexto3"/>
    <w:uiPriority w:val="99"/>
    <w:semiHidden/>
    <w:rsid w:val="00C16616"/>
    <w:rPr>
      <w:rFonts w:ascii="Courier New" w:eastAsia="Times New Roman" w:hAnsi="Courier New" w:cs="Times New Roman"/>
      <w:sz w:val="16"/>
      <w:szCs w:val="16"/>
      <w:lang w:eastAsia="pt-BR"/>
    </w:rPr>
  </w:style>
  <w:style w:type="paragraph" w:customStyle="1" w:styleId="Default">
    <w:name w:val="Default"/>
    <w:rsid w:val="00C16616"/>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customStyle="1" w:styleId="Blockquote">
    <w:name w:val="Blockquote"/>
    <w:basedOn w:val="Normal"/>
    <w:rsid w:val="00C16616"/>
    <w:pPr>
      <w:spacing w:before="100" w:after="100"/>
      <w:ind w:left="360" w:right="360"/>
    </w:pPr>
    <w:rPr>
      <w:color w:val="auto"/>
      <w:szCs w:val="20"/>
    </w:rPr>
  </w:style>
  <w:style w:type="character" w:customStyle="1" w:styleId="hlhilite">
    <w:name w:val="hl hilite"/>
    <w:basedOn w:val="Fontepargpadro"/>
    <w:rsid w:val="00C16616"/>
    <w:rPr>
      <w:rFonts w:cs="Times New Roman"/>
    </w:rPr>
  </w:style>
  <w:style w:type="paragraph" w:styleId="Textodebalo">
    <w:name w:val="Balloon Text"/>
    <w:basedOn w:val="Normal"/>
    <w:link w:val="TextodebaloChar"/>
    <w:uiPriority w:val="99"/>
    <w:semiHidden/>
    <w:unhideWhenUsed/>
    <w:rsid w:val="00C16616"/>
    <w:rPr>
      <w:rFonts w:ascii="Tahoma" w:hAnsi="Tahoma" w:cs="Tahoma"/>
      <w:sz w:val="16"/>
      <w:szCs w:val="16"/>
    </w:rPr>
  </w:style>
  <w:style w:type="character" w:customStyle="1" w:styleId="TextodebaloChar">
    <w:name w:val="Texto de balão Char"/>
    <w:basedOn w:val="Fontepargpadro"/>
    <w:link w:val="Textodebalo"/>
    <w:uiPriority w:val="99"/>
    <w:semiHidden/>
    <w:rsid w:val="00C16616"/>
    <w:rPr>
      <w:rFonts w:ascii="Tahoma" w:eastAsia="Times New Roman" w:hAnsi="Tahoma" w:cs="Tahoma"/>
      <w:color w:val="000000"/>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5934</Words>
  <Characters>32049</Characters>
  <Application>Microsoft Office Word</Application>
  <DocSecurity>0</DocSecurity>
  <Lines>267</Lines>
  <Paragraphs>75</Paragraphs>
  <ScaleCrop>false</ScaleCrop>
  <Company/>
  <LinksUpToDate>false</LinksUpToDate>
  <CharactersWithSpaces>37908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2024-07-22T13:08:00Z</dcterms:created>
  <dcterms:modified xsi:type="dcterms:W3CDTF">2024-07-22T13:09:00Z</dcterms:modified>
</cp:coreProperties>
</file>