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6E" w:rsidRDefault="007F056E" w:rsidP="007F056E">
      <w:pPr>
        <w:ind w:left="3119"/>
      </w:pPr>
    </w:p>
    <w:p w:rsidR="007F056E" w:rsidRDefault="007F056E" w:rsidP="007F056E">
      <w:pPr>
        <w:ind w:left="3402"/>
        <w:rPr>
          <w:rFonts w:cs="Courier New"/>
          <w:color w:val="000000" w:themeColor="text1"/>
        </w:rPr>
      </w:pPr>
      <w:r>
        <w:t xml:space="preserve">A CÂMARA MUNICIPAL DE PORECATU, ESTADO DO PARANÁ, </w:t>
      </w:r>
      <w:r w:rsidRPr="00BA0BA2">
        <w:rPr>
          <w:b/>
          <w:u w:val="single"/>
        </w:rPr>
        <w:t>APROVOU</w:t>
      </w:r>
      <w:r>
        <w:t xml:space="preserve"> E EU </w:t>
      </w:r>
      <w:r w:rsidRPr="00BA0BA2">
        <w:rPr>
          <w:b/>
          <w:u w:val="single"/>
        </w:rPr>
        <w:t>PROMULGO</w:t>
      </w:r>
      <w:r>
        <w:t>, NOS TERMOS DO § 7º, DO ARTIGO 24, DA LEI ORGÂNICA DO MUNICÍPIO DE PORECATU, A SEGUINTE LEI</w:t>
      </w:r>
      <w:r w:rsidRPr="007E0F5B">
        <w:rPr>
          <w:rFonts w:cs="Courier New"/>
          <w:color w:val="000000" w:themeColor="text1"/>
        </w:rPr>
        <w:t xml:space="preserve">: </w:t>
      </w:r>
    </w:p>
    <w:p w:rsidR="007F056E" w:rsidRPr="007E0F5B" w:rsidRDefault="007F056E" w:rsidP="007F056E">
      <w:pPr>
        <w:spacing w:line="360" w:lineRule="auto"/>
        <w:ind w:left="2410" w:right="358"/>
        <w:rPr>
          <w:rFonts w:cs="Courier New"/>
          <w:color w:val="000000" w:themeColor="text1"/>
        </w:rPr>
      </w:pPr>
    </w:p>
    <w:p w:rsidR="007F056E" w:rsidRPr="007E0F5B" w:rsidRDefault="007F056E" w:rsidP="007F056E">
      <w:pPr>
        <w:pStyle w:val="Ttulo2"/>
        <w:tabs>
          <w:tab w:val="left" w:pos="8931"/>
        </w:tabs>
        <w:spacing w:line="360" w:lineRule="auto"/>
        <w:ind w:left="0" w:right="358"/>
        <w:rPr>
          <w:rFonts w:ascii="Courier New" w:hAnsi="Courier New" w:cs="Courier New"/>
          <w:b/>
          <w:color w:val="000000" w:themeColor="text1"/>
        </w:rPr>
      </w:pPr>
    </w:p>
    <w:p w:rsidR="007F056E" w:rsidRPr="007E0F5B" w:rsidRDefault="007F056E" w:rsidP="007F056E">
      <w:pPr>
        <w:pStyle w:val="Ttulo2"/>
        <w:tabs>
          <w:tab w:val="left" w:pos="8931"/>
        </w:tabs>
        <w:spacing w:line="360" w:lineRule="auto"/>
        <w:ind w:left="0" w:right="358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LEI Nº 1.900</w:t>
      </w:r>
      <w:r w:rsidRPr="008A1ABC">
        <w:rPr>
          <w:rFonts w:ascii="Courier New" w:hAnsi="Courier New" w:cs="Courier New"/>
          <w:b/>
          <w:color w:val="000000" w:themeColor="text1"/>
        </w:rPr>
        <w:t>/2021</w:t>
      </w:r>
    </w:p>
    <w:p w:rsidR="007F056E" w:rsidRPr="007E0F5B" w:rsidRDefault="007F056E" w:rsidP="007F056E">
      <w:pPr>
        <w:spacing w:line="360" w:lineRule="auto"/>
        <w:ind w:right="358"/>
        <w:rPr>
          <w:rFonts w:cs="Courier New"/>
          <w:color w:val="000000" w:themeColor="text1"/>
        </w:rPr>
      </w:pPr>
    </w:p>
    <w:p w:rsidR="007F056E" w:rsidRPr="002701E1" w:rsidRDefault="007F056E" w:rsidP="007F056E">
      <w:pPr>
        <w:tabs>
          <w:tab w:val="left" w:pos="8931"/>
        </w:tabs>
        <w:spacing w:line="360" w:lineRule="auto"/>
        <w:ind w:right="358"/>
        <w:rPr>
          <w:rFonts w:cs="Courier New"/>
          <w:color w:val="000000" w:themeColor="text1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SÚMULA: INSTITUI O PROGRAMA MUNICIPAL DE FOMENTO AO DESENVOLVIMENTO SOCIOECONÔMICO LOCAL, DENOMINADO VALORIZA PORECATU.</w:t>
      </w:r>
    </w:p>
    <w:p w:rsidR="007F056E" w:rsidRPr="007E0F5B" w:rsidRDefault="007F056E" w:rsidP="007F056E">
      <w:pPr>
        <w:tabs>
          <w:tab w:val="left" w:pos="8931"/>
        </w:tabs>
        <w:spacing w:line="360" w:lineRule="auto"/>
        <w:ind w:right="358"/>
        <w:rPr>
          <w:rFonts w:cs="Courier New"/>
          <w:color w:val="000000" w:themeColor="text1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Art. 1º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- Fica instituído o programa municipal de fomento ao desenvolvimento socioeconômico local, denominado "Valoriza Porecatu", com o objetivo de garantir a promoção de acesso ao mercado de micro e pequenas empresas sediadas no Município de Porecatu, nos termos da Lei Complementar Federal nº 123, de 14 de dezembro de 2006.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SEÇÃO I </w:t>
      </w:r>
    </w:p>
    <w:p w:rsidR="007F056E" w:rsidRPr="007E0F5B" w:rsidRDefault="007F056E" w:rsidP="007F056E">
      <w:pPr>
        <w:pStyle w:val="Corpodetex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DISPOSIÇÕES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b/>
          <w:color w:val="000000" w:themeColor="text1"/>
          <w:spacing w:val="-3"/>
          <w:sz w:val="24"/>
          <w:szCs w:val="24"/>
        </w:rPr>
        <w:t>GERAIS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Art. 2º.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- Nas contratações públicas de bens, serviços e obras, deverá ser concedido tratamento diferenciado e favorecido e diferenciado e simplificado para as microempresas e empresas de pequeno porte, objetivando: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I ­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a promoção do desenvolvimento econômico e social no âmbito municipal;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II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ampliação da eficiência das políticas públicas;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lastRenderedPageBreak/>
        <w:t xml:space="preserve">III ­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o incentivo à inovação tecnológica;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IV ­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o fomento do desenvolvimento local, através do apoio aos arranjos produtivos locais e associativismo; 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V ­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estimular o uso do poder de compra do Município, articulando diversos fatores e agentes, em uma ação integrada e abrangente, promovendo assim o desenvolvimento socioeconômico de Porecatu.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Parágrafo 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1º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Subordinam­se ao disposto deste Projeto, além dos órgãos da administração pública municipal direta e indireta, as autarquias e fundações públicas que venham a ser criadas.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Parágrafo </w:t>
      </w:r>
      <w:r>
        <w:rPr>
          <w:rFonts w:cs="Courier New"/>
          <w:b/>
          <w:color w:val="000000" w:themeColor="text1"/>
        </w:rPr>
        <w:t>2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Para os efeitos do disposto neste Projeto,</w:t>
      </w:r>
      <w:r>
        <w:rPr>
          <w:rFonts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c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onsidera­se local ou municipal</w:t>
      </w:r>
      <w:r>
        <w:rPr>
          <w:rFonts w:cs="Courier New"/>
          <w:color w:val="000000" w:themeColor="text1"/>
        </w:rPr>
        <w:t>,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o limite geográfico do município</w:t>
      </w:r>
      <w:r>
        <w:rPr>
          <w:rFonts w:cs="Courier New"/>
          <w:color w:val="000000" w:themeColor="text1"/>
        </w:rPr>
        <w:t>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Art. 3º.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Sem prejuízo da economicidade, as compras de bens e serviços por parte dos órgãos da Administração Direta do Município, suas autarquias e fundações caso estas sejam implantadas, deverão ser planejadas de forma a possibilitar a mais ampla participação de microempresas e empresas de pequeno porte locais, ainda que por intermédio de consórcios ou cooperativas.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1º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A13B4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Para os efeitos deste artigo poderá ser utilizada a licitação por item.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2º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Considera­se licitação por item aquela destinada à aquisição de diversos bens ou à contratação de serviços pela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>Administração, quando estes bens ou serviços sejam divisíveis e possam ser adjudicados a licitantes distintos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3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Na impossibilidade de atendimento do disposto no “caput”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do artigo 3º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, em decorrência da natureza do produto,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ou da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inexistência no </w:t>
      </w:r>
      <w:r w:rsidRPr="007E0F5B">
        <w:rPr>
          <w:rFonts w:cs="Courier New"/>
          <w:color w:val="000000" w:themeColor="text1"/>
        </w:rPr>
        <w:t>município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de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pelo menos 3 (três) fornecedores considerados de pequeno porte,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ou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da exigência de qualidade específica,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ou ainda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do risco de fornecimento considerado alto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,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ou qualquer outro aspecto impeditivo da participação de microempresas ou empresas de pequeno porte, essa circunstância deverá, obrigatoriamente, ser justificada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no processo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Art. 4º</w:t>
      </w:r>
      <w:r w:rsidRPr="002F0522">
        <w:rPr>
          <w:rFonts w:ascii="Courier New" w:hAnsi="Courier New" w:cs="Courier New"/>
          <w:color w:val="000000" w:themeColor="text1"/>
          <w:sz w:val="24"/>
          <w:szCs w:val="24"/>
        </w:rPr>
        <w:t xml:space="preserve"> 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Para a ampliação da participação das microempresas e empresas de pequeno porte nas licitações, os órgãos ou entidades contratantes deverão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: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I </w:t>
      </w:r>
      <w:r w:rsidRPr="002F0522">
        <w:rPr>
          <w:rFonts w:ascii="Courier New" w:hAnsi="Courier New" w:cs="Courier New"/>
          <w:color w:val="000000" w:themeColor="text1"/>
          <w:sz w:val="24"/>
          <w:szCs w:val="24"/>
        </w:rPr>
        <w:t>­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estabelecer e divulgar um planejamento anual das contratações públicas </w:t>
      </w:r>
      <w:r w:rsidRPr="007E0F5B">
        <w:rPr>
          <w:rFonts w:ascii="Courier New" w:hAnsi="Courier New" w:cs="Courier New"/>
          <w:color w:val="000000" w:themeColor="text1"/>
          <w:spacing w:val="-13"/>
          <w:sz w:val="24"/>
          <w:szCs w:val="24"/>
        </w:rPr>
        <w:t xml:space="preserve">a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serem realizadas, com a estimativa de quantitativo e de data das contratações no sítio oficial </w:t>
      </w:r>
      <w:r w:rsidRPr="007E0F5B">
        <w:rPr>
          <w:rFonts w:ascii="Courier New" w:hAnsi="Courier New" w:cs="Courier New"/>
          <w:color w:val="000000" w:themeColor="text1"/>
          <w:spacing w:val="-8"/>
          <w:sz w:val="24"/>
          <w:szCs w:val="24"/>
        </w:rPr>
        <w:t xml:space="preserve">do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município, em murais públicos, jornais ou outras formas de divulgação;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2701E1">
        <w:rPr>
          <w:rFonts w:ascii="Courier New" w:hAnsi="Courier New" w:cs="Courier New"/>
          <w:b/>
          <w:color w:val="000000" w:themeColor="text1"/>
          <w:sz w:val="24"/>
          <w:szCs w:val="24"/>
        </w:rPr>
        <w:t>II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instituir cadastro próprio, de livre acesso, e mantê­lo atualizado com as especificações técnicas dos bens e serviços contratados, de modo a orientar as microempresas </w:t>
      </w:r>
      <w:r w:rsidRPr="007E0F5B">
        <w:rPr>
          <w:rFonts w:ascii="Courier New" w:hAnsi="Courier New" w:cs="Courier New"/>
          <w:color w:val="000000" w:themeColor="text1"/>
          <w:spacing w:val="-14"/>
          <w:sz w:val="24"/>
          <w:szCs w:val="24"/>
        </w:rPr>
        <w:t xml:space="preserve">e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empresas de pequeno porte para que ad</w:t>
      </w:r>
      <w:r>
        <w:rPr>
          <w:rFonts w:cs="Courier New"/>
          <w:color w:val="000000" w:themeColor="text1"/>
        </w:rPr>
        <w:t>é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quem os seus processos produtivos;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2701E1">
        <w:rPr>
          <w:rFonts w:ascii="Courier New" w:hAnsi="Courier New" w:cs="Courier New"/>
          <w:b/>
          <w:color w:val="000000" w:themeColor="text1"/>
          <w:sz w:val="24"/>
          <w:szCs w:val="24"/>
        </w:rPr>
        <w:t>III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instituir cadastro próprio, de livre acesso, e mantê­lo atualizado para identificar as microempresas e empresas de pequeno porte sediadas no município, com as respectivas linhas de fornecimento, de modo a possibilitar a notificação das licitações e facilitar a formação de parcerias e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>subcontratações;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2701E1">
        <w:rPr>
          <w:rFonts w:ascii="Courier New" w:hAnsi="Courier New" w:cs="Courier New"/>
          <w:b/>
          <w:color w:val="000000" w:themeColor="text1"/>
          <w:sz w:val="24"/>
          <w:szCs w:val="24"/>
        </w:rPr>
        <w:t>IV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não utilizar, na definição do objeto da contratação, especificações que restrinjam injustificadamente a participação das microempresas e empresas de pequeno </w:t>
      </w:r>
      <w:r w:rsidRPr="007E0F5B">
        <w:rPr>
          <w:rFonts w:ascii="Courier New" w:hAnsi="Courier New" w:cs="Courier New"/>
          <w:color w:val="000000" w:themeColor="text1"/>
          <w:spacing w:val="-3"/>
          <w:sz w:val="24"/>
          <w:szCs w:val="24"/>
        </w:rPr>
        <w:t xml:space="preserve">porte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sediadas sediadas </w:t>
      </w:r>
      <w:r w:rsidRPr="004662B7">
        <w:rPr>
          <w:rFonts w:ascii="Courier New" w:hAnsi="Courier New" w:cs="Courier New"/>
          <w:color w:val="000000" w:themeColor="text1"/>
          <w:sz w:val="24"/>
          <w:szCs w:val="24"/>
        </w:rPr>
        <w:t>no município de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Porecatu;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V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capacitar e sensibilizar os servidores, empresários, entidades e sociedade  sobre o presente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p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rograma, bem como orientar os micro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s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e pequenos empresários locais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,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através de cartilhas, atendimentos referenciais e a criação de um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E65C02">
        <w:rPr>
          <w:rFonts w:ascii="Courier New" w:hAnsi="Courier New" w:cs="Courier New"/>
          <w:i/>
          <w:color w:val="000000" w:themeColor="text1"/>
          <w:sz w:val="24"/>
          <w:szCs w:val="24"/>
        </w:rPr>
        <w:t>link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exclusiv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o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para o esclarecimento de dúvidas e disponibilização de informações;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E65C02">
        <w:rPr>
          <w:rFonts w:ascii="Courier New" w:hAnsi="Courier New" w:cs="Courier New"/>
          <w:b/>
          <w:color w:val="000000" w:themeColor="text1"/>
          <w:sz w:val="24"/>
          <w:szCs w:val="24"/>
        </w:rPr>
        <w:t>VI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promover a padronização e a divulgação de modelos de editais, termos </w:t>
      </w:r>
      <w:r w:rsidRPr="007E0F5B">
        <w:rPr>
          <w:rFonts w:ascii="Courier New" w:hAnsi="Courier New" w:cs="Courier New"/>
          <w:color w:val="000000" w:themeColor="text1"/>
          <w:spacing w:val="-7"/>
          <w:sz w:val="24"/>
          <w:szCs w:val="24"/>
        </w:rPr>
        <w:t xml:space="preserve">de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referência e demais documentos licitatórios;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E65C02">
        <w:rPr>
          <w:rFonts w:ascii="Courier New" w:hAnsi="Courier New" w:cs="Courier New"/>
          <w:b/>
          <w:color w:val="000000" w:themeColor="text1"/>
          <w:sz w:val="24"/>
          <w:szCs w:val="24"/>
        </w:rPr>
        <w:t>VII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- 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desenvolver propostas de modernização, celeridade e desburocratização dos processos licitatórios;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E65C02">
        <w:rPr>
          <w:rFonts w:ascii="Courier New" w:hAnsi="Courier New" w:cs="Courier New"/>
          <w:b/>
          <w:color w:val="000000" w:themeColor="text1"/>
          <w:sz w:val="24"/>
          <w:szCs w:val="24"/>
        </w:rPr>
        <w:t>VIII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instituir um selo de pagamento diferenciado às micro e pequenas empresas loca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l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, com prazos de no máximo 30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(trinta)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dias, contados a partir do recebimento definitivo da nota fiscal, assegurando, assim, celeridade no pagamento dos fornecedores;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IX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priorizar a utilização de pregão na modalidade presencial na aquisição de bens ou serviços comuns, que envolvam produtos de pequenas empresas ou, de produtores rurais estabelecidos no </w:t>
      </w:r>
      <w:r w:rsidRPr="007E0F5B">
        <w:rPr>
          <w:rFonts w:cs="Courier New"/>
          <w:color w:val="000000" w:themeColor="text1"/>
        </w:rPr>
        <w:t>município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de Porecatu, como política pública de incentivo e promoção do desenvolvimento local.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2D0180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Parágrafo Único </w:t>
      </w:r>
      <w:r w:rsidRPr="002D0180">
        <w:rPr>
          <w:rFonts w:ascii="Courier New" w:hAnsi="Courier New" w:cs="Courier New"/>
          <w:color w:val="000000" w:themeColor="text1"/>
          <w:sz w:val="24"/>
          <w:szCs w:val="24"/>
        </w:rPr>
        <w:t>- Para fins de instituição do selo de que trata o inciso VIII, o Executivo Municipal deverá promover suas especificações técnicas através de ato próprio, bem como determin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a</w:t>
      </w:r>
      <w:r w:rsidRPr="002D0180">
        <w:rPr>
          <w:rFonts w:ascii="Courier New" w:hAnsi="Courier New" w:cs="Courier New"/>
          <w:color w:val="000000" w:themeColor="text1"/>
          <w:sz w:val="24"/>
          <w:szCs w:val="24"/>
        </w:rPr>
        <w:t xml:space="preserve">r a imediata prioridade de tramitação nos processos de </w:t>
      </w:r>
      <w:r w:rsidRPr="002D0180"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>pagamento de fornecedores das micro e pequenas empresas locais."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Art. 5º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As necessidades de compras de gêneros alimentícios perecíveis e outros produtos perecíveis, por parte dos órgãos da Administração Direta do Município, suas autarquias e fundações caso sejam criadas, serão preferencialmente adequadas à oferta de produtores locais.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Parágrafo 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1º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As compras deverão, sempre que possível, ser subdivididas em tantas  parcelas quantas necessárias, para aproveitar as peculiaridades do mercado, visando </w:t>
      </w:r>
      <w:r w:rsidRPr="007E0F5B">
        <w:rPr>
          <w:rFonts w:ascii="Courier New" w:hAnsi="Courier New" w:cs="Courier New"/>
          <w:color w:val="000000" w:themeColor="text1"/>
          <w:spacing w:val="-13"/>
          <w:sz w:val="24"/>
          <w:szCs w:val="24"/>
        </w:rPr>
        <w:t xml:space="preserve">à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economicidade.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2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A aquisição, salvo razões preponderantes, devidamente justificadas, deverá ser planejada de forma a considerar a capacidade produtiva dos fornecedores locais, a disponibilidade de produtos frescos e a facilidade de entrega nos locais de consumo, de forma a evitar custos com transporte e armazenamento.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Art. 6º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Nas aquisições de bens ou serviços comuns na modalidade pregão, que envolvam produtos de pequenas empresas ou de produtores rurais, estabelecidos no </w:t>
      </w:r>
      <w:r w:rsidRPr="007E0F5B">
        <w:rPr>
          <w:rFonts w:cs="Courier New"/>
          <w:color w:val="000000" w:themeColor="text1"/>
        </w:rPr>
        <w:t>município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de Porecatu, salvo razões fundamentadas, deverá ser dada preferência pela utilização do pregão presencial.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Art. 7º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Nos procedimentos de licitação, deverá ser dada a mais ampla divulgação aos editais, inclusive junto às entidades de apoio e representação das microempresas e das pequenas empresas para divulgação em seus veículos de comunicação.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Art. 8º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Para os fins do artigo anterior, os órgãos responsáveis pela licitação poderão celebrar parcerias com entidades e organizações da sociedade civil para divulgação das licitações, tais como ACEP (A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ssociação C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o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mercial e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Empresarial de Porecatu) ou outras do gênero.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ind w:right="358"/>
        <w:rPr>
          <w:rFonts w:cs="Courier New"/>
          <w:b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t>SEÇÃO II</w:t>
      </w:r>
    </w:p>
    <w:p w:rsidR="007F056E" w:rsidRPr="007E0F5B" w:rsidRDefault="007F056E" w:rsidP="007F056E">
      <w:pPr>
        <w:ind w:right="358"/>
        <w:rPr>
          <w:rFonts w:cs="Courier New"/>
          <w:b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t xml:space="preserve">DO </w:t>
      </w:r>
      <w:r w:rsidRPr="007E0F5B">
        <w:rPr>
          <w:rFonts w:cs="Courier New"/>
          <w:b/>
          <w:color w:val="000000" w:themeColor="text1"/>
          <w:spacing w:val="-5"/>
        </w:rPr>
        <w:t xml:space="preserve">TRATAMENTO </w:t>
      </w:r>
      <w:r w:rsidRPr="007E0F5B">
        <w:rPr>
          <w:rFonts w:cs="Courier New"/>
          <w:b/>
          <w:color w:val="000000" w:themeColor="text1"/>
        </w:rPr>
        <w:t xml:space="preserve">DIFERENCIADO E </w:t>
      </w:r>
      <w:r w:rsidRPr="007E0F5B">
        <w:rPr>
          <w:rFonts w:cs="Courier New"/>
          <w:b/>
          <w:color w:val="000000" w:themeColor="text1"/>
          <w:spacing w:val="-6"/>
        </w:rPr>
        <w:t xml:space="preserve">FAVORECIDO </w:t>
      </w:r>
      <w:r w:rsidRPr="007E0F5B">
        <w:rPr>
          <w:rFonts w:cs="Courier New"/>
          <w:b/>
          <w:color w:val="000000" w:themeColor="text1"/>
        </w:rPr>
        <w:t xml:space="preserve">ÀS MICROEMPRESAS E EMPRESAS </w:t>
      </w:r>
      <w:r w:rsidRPr="007E0F5B">
        <w:rPr>
          <w:rFonts w:cs="Courier New"/>
          <w:b/>
          <w:color w:val="000000" w:themeColor="text1"/>
          <w:spacing w:val="-6"/>
        </w:rPr>
        <w:t xml:space="preserve">DE </w:t>
      </w:r>
      <w:r w:rsidRPr="007E0F5B">
        <w:rPr>
          <w:rFonts w:cs="Courier New"/>
          <w:b/>
          <w:color w:val="000000" w:themeColor="text1"/>
        </w:rPr>
        <w:t>PEQUENO PORTE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Art. 9º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Nas contratações públicas da Administração Direta e Indireta Municipal poderá ser concedido tratamento diferenciado e simplificado para as microempresas e empresas de pequeno porte objetivando a promoção do desenvolvimento econômico e social no âmbito municipal.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Parágrafo Único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CA3FCD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Os benefícios referidos nesta Seção poderão, justificadamente, estabelecer a prioridade de contratação para as microempresas e empresas de pequeno porte sediadas no </w:t>
      </w:r>
      <w:r w:rsidRPr="007E0F5B">
        <w:rPr>
          <w:rFonts w:cs="Courier New"/>
          <w:color w:val="000000" w:themeColor="text1"/>
        </w:rPr>
        <w:t>município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de Porecatu, até o limite de 10% (dez por cento) do melhor preço válido.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95D91">
        <w:rPr>
          <w:rFonts w:ascii="Courier New" w:hAnsi="Courier New" w:cs="Courier New"/>
          <w:b/>
          <w:color w:val="000000" w:themeColor="text1"/>
          <w:sz w:val="24"/>
          <w:szCs w:val="24"/>
        </w:rPr>
        <w:t>Art. 10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95D91">
        <w:rPr>
          <w:rFonts w:ascii="Courier New" w:hAnsi="Courier New" w:cs="Courier New"/>
          <w:color w:val="000000" w:themeColor="text1"/>
          <w:sz w:val="24"/>
          <w:szCs w:val="24"/>
        </w:rPr>
        <w:t xml:space="preserve">- Nos termos da Lei Complementar 123/2006, havendo alguma restrição na comprovação da regularidade fiscal, será assegurado o prazo de 5 (cinco) dias úteis, prorrogáveis por igual período, a critério da Administração Pública, cujo termo inicial corresponderá ao momento em que o proponente for declarado o vencedor do certame, para a regularização da documentação, pagamento ou parcelamento do débito, e emissão de eventuais certidões negativas ou positivas com efeito de </w:t>
      </w:r>
      <w:r w:rsidRPr="00795D91"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>certidão negativa.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ind w:right="358"/>
        <w:rPr>
          <w:rFonts w:cs="Courier New"/>
          <w:b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t>Subseção I</w:t>
      </w:r>
    </w:p>
    <w:p w:rsidR="007F056E" w:rsidRPr="007E0F5B" w:rsidRDefault="007F056E" w:rsidP="007F056E">
      <w:pPr>
        <w:ind w:right="358"/>
        <w:rPr>
          <w:rFonts w:cs="Courier New"/>
          <w:b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t xml:space="preserve">DA PREFERÊNCIA À MPE </w:t>
      </w:r>
      <w:r>
        <w:rPr>
          <w:rFonts w:cs="Courier New"/>
          <w:b/>
          <w:color w:val="000000" w:themeColor="text1"/>
        </w:rPr>
        <w:t>E</w:t>
      </w:r>
      <w:r w:rsidRPr="007E0F5B">
        <w:rPr>
          <w:rFonts w:cs="Courier New"/>
          <w:b/>
          <w:color w:val="000000" w:themeColor="text1"/>
        </w:rPr>
        <w:t xml:space="preserve">M CASO </w:t>
      </w:r>
      <w:r>
        <w:rPr>
          <w:rFonts w:cs="Courier New"/>
          <w:b/>
          <w:color w:val="000000" w:themeColor="text1"/>
        </w:rPr>
        <w:t>D</w:t>
      </w:r>
      <w:r w:rsidRPr="007E0F5B">
        <w:rPr>
          <w:rFonts w:cs="Courier New"/>
          <w:b/>
          <w:color w:val="000000" w:themeColor="text1"/>
        </w:rPr>
        <w:t>E EMPATE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Art. </w:t>
      </w:r>
      <w:r w:rsidRPr="007E0F5B">
        <w:rPr>
          <w:rFonts w:ascii="Courier New" w:hAnsi="Courier New" w:cs="Courier New"/>
          <w:b/>
          <w:color w:val="000000" w:themeColor="text1"/>
          <w:spacing w:val="-5"/>
          <w:sz w:val="24"/>
          <w:szCs w:val="24"/>
        </w:rPr>
        <w:t>11</w:t>
      </w:r>
      <w:r>
        <w:rPr>
          <w:rFonts w:ascii="Courier New" w:hAnsi="Courier New" w:cs="Courier New"/>
          <w:b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pacing w:val="-5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pacing w:val="-5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Nas licitações será assegurado, como critério de desempate, preferência de contratação para as microempresas e empresas de pequeno porte.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Parágrafo 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1º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95D91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Entende­se por empate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,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aquelas situações em que as ofertas apresentadas pelas microempresas e empresas de pequeno porte sejam iguais ou até dez por cento superiores ao menor preço.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2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95D91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Na modalidade de pregão, o intervalo percentual estabelecido no § 1º será de até cinco por cento superior ao menor preço.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3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95D91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O disposto neste artigo somente se aplicará quando a melhor oferta </w:t>
      </w:r>
      <w:r w:rsidRPr="007E0F5B">
        <w:rPr>
          <w:rFonts w:ascii="Courier New" w:hAnsi="Courier New" w:cs="Courier New"/>
          <w:color w:val="000000" w:themeColor="text1"/>
          <w:spacing w:val="-3"/>
          <w:sz w:val="24"/>
          <w:szCs w:val="24"/>
        </w:rPr>
        <w:t xml:space="preserve">válida 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não tiver sido apresentada por microempresa ou empresa de pequeno porte.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4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95D91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A preferência de que trata este artigo será concedida da seguinte forma: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667871">
        <w:rPr>
          <w:rFonts w:ascii="Courier New" w:hAnsi="Courier New" w:cs="Courier New"/>
          <w:b/>
          <w:color w:val="000000" w:themeColor="text1"/>
          <w:sz w:val="24"/>
          <w:szCs w:val="24"/>
        </w:rPr>
        <w:t>I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- o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correndo o empate, a microempresa ou empresa de pequeno porte </w:t>
      </w:r>
      <w:r w:rsidRPr="007E0F5B">
        <w:rPr>
          <w:rFonts w:ascii="Courier New" w:hAnsi="Courier New" w:cs="Courier New"/>
          <w:color w:val="000000" w:themeColor="text1"/>
          <w:spacing w:val="-3"/>
          <w:sz w:val="24"/>
          <w:szCs w:val="24"/>
        </w:rPr>
        <w:t xml:space="preserve">melhor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classificada será convocada a apresentar proposta de preço inferior àquela considerada vencedora do certame;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667871">
        <w:rPr>
          <w:rFonts w:ascii="Courier New" w:hAnsi="Courier New" w:cs="Courier New"/>
          <w:b/>
          <w:color w:val="000000" w:themeColor="text1"/>
          <w:sz w:val="24"/>
          <w:szCs w:val="24"/>
        </w:rPr>
        <w:t>II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na hipótese da não contratação da microempresa ou empresa de pequeno porte, com base no inciso I, serão convocadas as remanescentes que porventura se enquadrem em situação de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>empate, na ordem classificatória, para o exercício do mesmo direito; e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667871">
        <w:rPr>
          <w:rFonts w:ascii="Courier New" w:hAnsi="Courier New" w:cs="Courier New"/>
          <w:b/>
          <w:color w:val="000000" w:themeColor="text1"/>
          <w:sz w:val="24"/>
          <w:szCs w:val="24"/>
        </w:rPr>
        <w:t>III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no caso de equivalência dos valores apresentados pelas microempresas e empresas de pequeno porte que se encontram em situação de empate, será realizado sorteio entre elas para que se identifique aquela que primeiro poderá apresentar melhor oferta.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5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95D91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Não se aplica o sorteio referido no inciso III do parágrafo anterior quando, por sua natureza, o procedimento não admitir o empate real, como acontece na fase de lances do pregão, em que os lances equivalentes não são considerados iguais, sendo classificados conforme a ordem de apresentação pelos licitantes.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6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95D91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No caso do pregão, após o encerramento dos lances, a microempresa ou empresa de pequeno porte melhor classificada será convocada para apresentar nova proposta no prazo máximo de cinco minutos por item em situação de empate, sob pena de preclusão.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7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95D91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Nas demais modalidades de licitação, o prazo para os licitantes apresentarem nova proposta deverá ser estabelecido pelo órgão ou entidade contratante, e estar previsto no instrumento convocatório.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Art. 12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Os órgãos e entidades contratantes deverão realizar processo licitatório destinado exclusivamente à participação de microempresas e empresas de pequeno porte nos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itens de contratação cujo valor seja de até R$ 80.000,00, nos termos do Art. 48, I da Lei Complementar nº 123/2006.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Parágrafo Único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667871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Não se aplica o disposto neste artigo quando ocorrerem situações previstas no Art. 49 da Lei Complementar nº 123/2006.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ind w:right="358"/>
        <w:rPr>
          <w:rFonts w:cs="Courier New"/>
          <w:b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t>Subseção II</w:t>
      </w:r>
    </w:p>
    <w:p w:rsidR="007F056E" w:rsidRPr="007E0F5B" w:rsidRDefault="007F056E" w:rsidP="007F056E">
      <w:pPr>
        <w:ind w:right="358"/>
        <w:rPr>
          <w:rFonts w:cs="Courier New"/>
          <w:b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t>DA SUBCONTRATAÇÃO DE MPE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Art. 13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Nas licitações para contratação de serviços e obras, o instrumento convocatório e o instrumento contratual poderão exigir a subcontratação de microempresas ou empresas de pequeno porte, sob pena de rescisão contratual, sem prejuízo das sanções legais, determinando: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PargrafodaLista"/>
        <w:tabs>
          <w:tab w:val="left" w:pos="1970"/>
        </w:tabs>
        <w:spacing w:before="0" w:line="360" w:lineRule="auto"/>
        <w:ind w:left="0" w:right="358" w:firstLine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I </w:t>
      </w:r>
      <w:r w:rsidRPr="00667871">
        <w:rPr>
          <w:rFonts w:ascii="Courier New" w:hAnsi="Courier New" w:cs="Courier New"/>
          <w:color w:val="000000" w:themeColor="text1"/>
          <w:sz w:val="24"/>
          <w:szCs w:val="24"/>
        </w:rPr>
        <w:t>­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o percentual mínimo a ser subcontratado e o percentual máximo admitido, facultada à empresa a subcontratação em limites superiores, sendo vedada a sub­rogação completa da contratação;</w:t>
      </w:r>
    </w:p>
    <w:p w:rsidR="007F056E" w:rsidRPr="00667871" w:rsidRDefault="007F056E" w:rsidP="007F056E">
      <w:pPr>
        <w:tabs>
          <w:tab w:val="left" w:pos="2146"/>
        </w:tabs>
        <w:spacing w:line="360" w:lineRule="auto"/>
        <w:ind w:left="128" w:right="358"/>
        <w:rPr>
          <w:rFonts w:cs="Courier New"/>
          <w:color w:val="000000" w:themeColor="text1"/>
        </w:rPr>
      </w:pPr>
      <w:r>
        <w:rPr>
          <w:rFonts w:cs="Courier New"/>
          <w:b/>
          <w:color w:val="000000" w:themeColor="text1"/>
        </w:rPr>
        <w:t xml:space="preserve">II </w:t>
      </w:r>
      <w:r>
        <w:rPr>
          <w:rFonts w:cs="Courier New"/>
          <w:color w:val="000000" w:themeColor="text1"/>
        </w:rPr>
        <w:t>-</w:t>
      </w:r>
      <w:r w:rsidRPr="005226D8">
        <w:rPr>
          <w:rFonts w:cs="Courier New"/>
          <w:color w:val="000000" w:themeColor="text1"/>
        </w:rPr>
        <w:t xml:space="preserve"> </w:t>
      </w:r>
      <w:r w:rsidRPr="00667871">
        <w:rPr>
          <w:rFonts w:cs="Courier New"/>
          <w:color w:val="000000" w:themeColor="text1"/>
        </w:rPr>
        <w:t xml:space="preserve">prazo para o contratado apresentar o plano de subcontratação e a documentação de regularidade fiscal, trabalhista e certidão negativa de falência e recuperação judicial das microempresas e empresas de pequeno porte subcontratadas, bem como ao longo </w:t>
      </w:r>
      <w:r w:rsidRPr="00667871">
        <w:rPr>
          <w:rFonts w:cs="Courier New"/>
          <w:color w:val="000000" w:themeColor="text1"/>
          <w:spacing w:val="-6"/>
        </w:rPr>
        <w:t xml:space="preserve">da </w:t>
      </w:r>
      <w:r w:rsidRPr="00667871">
        <w:rPr>
          <w:rFonts w:cs="Courier New"/>
          <w:color w:val="000000" w:themeColor="text1"/>
        </w:rPr>
        <w:t>vigência contratual, sob pena de rescisão contratual, sem prejuízo das sanções cabíveis;</w:t>
      </w:r>
    </w:p>
    <w:p w:rsidR="007F056E" w:rsidRPr="005226D8" w:rsidRDefault="007F056E" w:rsidP="007F056E">
      <w:pPr>
        <w:tabs>
          <w:tab w:val="left" w:pos="2142"/>
        </w:tabs>
        <w:spacing w:line="360" w:lineRule="auto"/>
        <w:ind w:left="128" w:right="358"/>
        <w:rPr>
          <w:rFonts w:cs="Courier New"/>
          <w:color w:val="000000" w:themeColor="text1"/>
        </w:rPr>
      </w:pPr>
      <w:r>
        <w:rPr>
          <w:rFonts w:cs="Courier New"/>
          <w:b/>
          <w:color w:val="000000" w:themeColor="text1"/>
        </w:rPr>
        <w:t xml:space="preserve">III </w:t>
      </w:r>
      <w:r w:rsidRPr="005226D8">
        <w:rPr>
          <w:rFonts w:cs="Courier New"/>
          <w:color w:val="000000" w:themeColor="text1"/>
        </w:rPr>
        <w:t xml:space="preserve">­ que as microempresas e empresas de pequeno porte a serem subcontratadas deverão ser estabelecidas </w:t>
      </w:r>
      <w:proofErr w:type="spellStart"/>
      <w:r w:rsidRPr="005226D8">
        <w:rPr>
          <w:rFonts w:cs="Courier New"/>
          <w:color w:val="000000" w:themeColor="text1"/>
        </w:rPr>
        <w:t>dando­se</w:t>
      </w:r>
      <w:proofErr w:type="spellEnd"/>
      <w:r w:rsidRPr="005226D8">
        <w:rPr>
          <w:rFonts w:cs="Courier New"/>
          <w:color w:val="000000" w:themeColor="text1"/>
        </w:rPr>
        <w:t xml:space="preserve"> preferência àquelas estabelecidas no Município;</w:t>
      </w:r>
    </w:p>
    <w:p w:rsidR="007F056E" w:rsidRPr="005226D8" w:rsidRDefault="007F056E" w:rsidP="007F056E">
      <w:pPr>
        <w:tabs>
          <w:tab w:val="left" w:pos="2158"/>
        </w:tabs>
        <w:spacing w:line="360" w:lineRule="auto"/>
        <w:ind w:left="128" w:right="358"/>
        <w:rPr>
          <w:rFonts w:cs="Courier New"/>
          <w:color w:val="000000" w:themeColor="text1"/>
        </w:rPr>
      </w:pPr>
      <w:r>
        <w:rPr>
          <w:rFonts w:cs="Courier New"/>
          <w:b/>
          <w:color w:val="000000" w:themeColor="text1"/>
        </w:rPr>
        <w:t xml:space="preserve">IV </w:t>
      </w:r>
      <w:r>
        <w:rPr>
          <w:rFonts w:cs="Courier New"/>
          <w:color w:val="000000" w:themeColor="text1"/>
        </w:rPr>
        <w:t>-</w:t>
      </w:r>
      <w:r w:rsidRPr="005226D8">
        <w:rPr>
          <w:rFonts w:cs="Courier New"/>
          <w:b/>
          <w:color w:val="000000" w:themeColor="text1"/>
        </w:rPr>
        <w:t xml:space="preserve"> </w:t>
      </w:r>
      <w:r w:rsidRPr="005226D8">
        <w:rPr>
          <w:rFonts w:cs="Courier New"/>
          <w:color w:val="000000" w:themeColor="text1"/>
        </w:rPr>
        <w:t xml:space="preserve">que a empresa contratada </w:t>
      </w:r>
      <w:proofErr w:type="spellStart"/>
      <w:r w:rsidRPr="005226D8">
        <w:rPr>
          <w:rFonts w:cs="Courier New"/>
          <w:color w:val="000000" w:themeColor="text1"/>
        </w:rPr>
        <w:t>compromete­se</w:t>
      </w:r>
      <w:proofErr w:type="spellEnd"/>
      <w:r w:rsidRPr="005226D8">
        <w:rPr>
          <w:rFonts w:cs="Courier New"/>
          <w:color w:val="000000" w:themeColor="text1"/>
        </w:rPr>
        <w:t xml:space="preserve"> a substituir a subcontratada, no prazo máximo de </w:t>
      </w:r>
      <w:r>
        <w:rPr>
          <w:rFonts w:cs="Courier New"/>
          <w:color w:val="000000" w:themeColor="text1"/>
        </w:rPr>
        <w:t>30 (</w:t>
      </w:r>
      <w:r w:rsidRPr="005226D8">
        <w:rPr>
          <w:rFonts w:cs="Courier New"/>
          <w:color w:val="000000" w:themeColor="text1"/>
        </w:rPr>
        <w:t>trinta dias</w:t>
      </w:r>
      <w:r>
        <w:rPr>
          <w:rFonts w:cs="Courier New"/>
          <w:color w:val="000000" w:themeColor="text1"/>
        </w:rPr>
        <w:t>)</w:t>
      </w:r>
      <w:r w:rsidRPr="005226D8">
        <w:rPr>
          <w:rFonts w:cs="Courier New"/>
          <w:color w:val="000000" w:themeColor="text1"/>
        </w:rPr>
        <w:t xml:space="preserve">, na hipótese de extinção da subcontratação, mantendo o percentual </w:t>
      </w:r>
      <w:r w:rsidRPr="005226D8">
        <w:rPr>
          <w:rFonts w:cs="Courier New"/>
          <w:color w:val="000000" w:themeColor="text1"/>
        </w:rPr>
        <w:lastRenderedPageBreak/>
        <w:t>originalmente subcontratado até a sua execução total, notificando o órgão ou entidade contratante, sob pena de rescisão, sem prejuízo das sanções cabíveis, ou demonstrar a inviabilidade da substituição, hipótese em que ficará responsável pela execução da parcela originalmente subcontratada; e</w:t>
      </w:r>
    </w:p>
    <w:p w:rsidR="007F056E" w:rsidRDefault="007F056E" w:rsidP="007F056E">
      <w:pPr>
        <w:tabs>
          <w:tab w:val="left" w:pos="2222"/>
        </w:tabs>
        <w:spacing w:line="360" w:lineRule="auto"/>
        <w:ind w:left="128" w:right="358"/>
        <w:rPr>
          <w:rFonts w:cs="Courier New"/>
          <w:color w:val="000000" w:themeColor="text1"/>
        </w:rPr>
      </w:pPr>
      <w:r>
        <w:rPr>
          <w:rFonts w:cs="Courier New"/>
          <w:b/>
          <w:color w:val="000000" w:themeColor="text1"/>
        </w:rPr>
        <w:t xml:space="preserve">V </w:t>
      </w:r>
      <w:r w:rsidRPr="005226D8">
        <w:rPr>
          <w:rFonts w:cs="Courier New"/>
          <w:color w:val="000000" w:themeColor="text1"/>
        </w:rPr>
        <w:t xml:space="preserve">­ que a empresa contratada </w:t>
      </w:r>
      <w:r>
        <w:rPr>
          <w:rFonts w:cs="Courier New"/>
          <w:color w:val="000000" w:themeColor="text1"/>
        </w:rPr>
        <w:t xml:space="preserve">ficará </w:t>
      </w:r>
      <w:r w:rsidRPr="005226D8">
        <w:rPr>
          <w:rFonts w:cs="Courier New"/>
          <w:color w:val="000000" w:themeColor="text1"/>
        </w:rPr>
        <w:t>respons</w:t>
      </w:r>
      <w:r>
        <w:rPr>
          <w:rFonts w:cs="Courier New"/>
          <w:color w:val="000000" w:themeColor="text1"/>
        </w:rPr>
        <w:t>ável</w:t>
      </w:r>
      <w:r w:rsidRPr="005226D8">
        <w:rPr>
          <w:rFonts w:cs="Courier New"/>
          <w:color w:val="000000" w:themeColor="text1"/>
        </w:rPr>
        <w:t xml:space="preserve"> pela </w:t>
      </w:r>
      <w:r w:rsidRPr="005226D8">
        <w:rPr>
          <w:rFonts w:cs="Courier New"/>
          <w:color w:val="000000" w:themeColor="text1"/>
          <w:spacing w:val="-2"/>
        </w:rPr>
        <w:t xml:space="preserve">padronização, </w:t>
      </w:r>
      <w:r w:rsidRPr="005226D8">
        <w:rPr>
          <w:rFonts w:cs="Courier New"/>
          <w:color w:val="000000" w:themeColor="text1"/>
        </w:rPr>
        <w:t>compatibilidade, gerenciamento centralizado e qualidade da subcontratação.</w:t>
      </w:r>
    </w:p>
    <w:p w:rsidR="007F056E" w:rsidRPr="005226D8" w:rsidRDefault="007F056E" w:rsidP="007F056E">
      <w:pPr>
        <w:tabs>
          <w:tab w:val="left" w:pos="2222"/>
        </w:tabs>
        <w:spacing w:line="360" w:lineRule="auto"/>
        <w:ind w:left="128" w:right="358"/>
        <w:rPr>
          <w:rFonts w:cs="Courier New"/>
          <w:color w:val="000000" w:themeColor="text1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Parágrafo 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1º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 xml:space="preserve"> 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Deverá constar ainda do instrumento convocatório que a exigência de subcontratação não será aplicável quando o licitante for: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PargrafodaLista"/>
        <w:numPr>
          <w:ilvl w:val="0"/>
          <w:numId w:val="1"/>
        </w:numPr>
        <w:tabs>
          <w:tab w:val="left" w:pos="167"/>
        </w:tabs>
        <w:spacing w:before="0" w:line="360" w:lineRule="auto"/>
        <w:ind w:left="0" w:right="358" w:firstLine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­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microempresa ou empresa de pequenoporte;</w:t>
      </w:r>
    </w:p>
    <w:p w:rsidR="007F056E" w:rsidRPr="007E0F5B" w:rsidRDefault="007F056E" w:rsidP="007F056E">
      <w:pPr>
        <w:pStyle w:val="PargrafodaLista"/>
        <w:tabs>
          <w:tab w:val="left" w:pos="2071"/>
        </w:tabs>
        <w:spacing w:before="0" w:line="360" w:lineRule="auto"/>
        <w:ind w:left="0" w:right="358" w:firstLine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II 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­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consórcio composto em sua totalidade por microempresas e empresas </w:t>
      </w:r>
      <w:r w:rsidRPr="007E0F5B">
        <w:rPr>
          <w:rFonts w:ascii="Courier New" w:hAnsi="Courier New" w:cs="Courier New"/>
          <w:color w:val="000000" w:themeColor="text1"/>
          <w:spacing w:val="-7"/>
          <w:sz w:val="24"/>
          <w:szCs w:val="24"/>
        </w:rPr>
        <w:t xml:space="preserve">de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pequeno porte, respeitado o disposto no art. 33 da Lei nº 8.666, de 1993; e</w:t>
      </w:r>
    </w:p>
    <w:p w:rsidR="007F056E" w:rsidRDefault="007F056E" w:rsidP="007F056E">
      <w:pPr>
        <w:pStyle w:val="PargrafodaLista"/>
        <w:tabs>
          <w:tab w:val="left" w:pos="2217"/>
        </w:tabs>
        <w:spacing w:before="0" w:line="360" w:lineRule="auto"/>
        <w:ind w:left="0" w:right="358" w:firstLine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5226D8">
        <w:rPr>
          <w:rFonts w:ascii="Courier New" w:hAnsi="Courier New" w:cs="Courier New"/>
          <w:b/>
          <w:color w:val="000000" w:themeColor="text1"/>
          <w:sz w:val="24"/>
          <w:szCs w:val="24"/>
        </w:rPr>
        <w:t>III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-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consórcio composto parcialmente por microempresas ou empresas </w:t>
      </w:r>
      <w:r w:rsidRPr="007E0F5B">
        <w:rPr>
          <w:rFonts w:ascii="Courier New" w:hAnsi="Courier New" w:cs="Courier New"/>
          <w:color w:val="000000" w:themeColor="text1"/>
          <w:spacing w:val="-6"/>
          <w:sz w:val="24"/>
          <w:szCs w:val="24"/>
        </w:rPr>
        <w:t xml:space="preserve">de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pequeno porte com participação igual ou superior ao percentual exigido de subcontratação.</w:t>
      </w:r>
    </w:p>
    <w:p w:rsidR="007F056E" w:rsidRPr="007E0F5B" w:rsidRDefault="007F056E" w:rsidP="007F056E">
      <w:pPr>
        <w:pStyle w:val="PargrafodaLista"/>
        <w:tabs>
          <w:tab w:val="left" w:pos="2217"/>
        </w:tabs>
        <w:spacing w:before="0" w:line="360" w:lineRule="auto"/>
        <w:ind w:left="0" w:right="358" w:firstLine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2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 xml:space="preserve"> 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Não se admite a exigência de subcontratação:</w:t>
      </w:r>
    </w:p>
    <w:p w:rsidR="007F056E" w:rsidRPr="005226D8" w:rsidRDefault="007F056E" w:rsidP="007F056E">
      <w:pPr>
        <w:tabs>
          <w:tab w:val="left" w:pos="1947"/>
        </w:tabs>
        <w:spacing w:line="360" w:lineRule="auto"/>
        <w:ind w:left="151" w:right="358"/>
        <w:rPr>
          <w:rFonts w:cs="Courier New"/>
          <w:color w:val="000000" w:themeColor="text1"/>
        </w:rPr>
      </w:pPr>
      <w:r>
        <w:rPr>
          <w:rFonts w:cs="Courier New"/>
          <w:b/>
          <w:color w:val="000000" w:themeColor="text1"/>
        </w:rPr>
        <w:t xml:space="preserve">I </w:t>
      </w:r>
      <w:r>
        <w:rPr>
          <w:rFonts w:cs="Courier New"/>
          <w:color w:val="000000" w:themeColor="text1"/>
        </w:rPr>
        <w:t xml:space="preserve">- </w:t>
      </w:r>
      <w:r w:rsidRPr="005226D8">
        <w:rPr>
          <w:rFonts w:cs="Courier New"/>
          <w:color w:val="000000" w:themeColor="text1"/>
        </w:rPr>
        <w:t>para o fornecimento de bens, exceto quando estiver vinculado à prestação de serviços acessórios;</w:t>
      </w:r>
    </w:p>
    <w:p w:rsidR="007F056E" w:rsidRPr="007E0F5B" w:rsidRDefault="007F056E" w:rsidP="007F056E">
      <w:pPr>
        <w:pStyle w:val="PargrafodaLista"/>
        <w:tabs>
          <w:tab w:val="left" w:pos="2026"/>
        </w:tabs>
        <w:spacing w:before="0" w:line="360" w:lineRule="auto"/>
        <w:ind w:left="0" w:right="358" w:firstLine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II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quando for inviável, sob o aspecto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técnico;</w:t>
      </w:r>
    </w:p>
    <w:p w:rsidR="007F056E" w:rsidRDefault="007F056E" w:rsidP="007F056E">
      <w:pPr>
        <w:pStyle w:val="PargrafodaLista"/>
        <w:tabs>
          <w:tab w:val="left" w:pos="2202"/>
        </w:tabs>
        <w:spacing w:before="0" w:line="360" w:lineRule="auto"/>
        <w:ind w:left="0" w:right="358" w:firstLine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III </w:t>
      </w:r>
      <w:r>
        <w:rPr>
          <w:rFonts w:ascii="Courier New" w:hAnsi="Courier New" w:cs="Courier New"/>
          <w:color w:val="000000" w:themeColor="text1"/>
          <w:sz w:val="24"/>
          <w:szCs w:val="24"/>
        </w:rPr>
        <w:softHyphen/>
        <w:t xml:space="preserve"> 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quando representar prejuízo ao conjunto ou complexo do objeto a </w:t>
      </w:r>
      <w:r w:rsidRPr="007E0F5B">
        <w:rPr>
          <w:rFonts w:ascii="Courier New" w:hAnsi="Courier New" w:cs="Courier New"/>
          <w:color w:val="000000" w:themeColor="text1"/>
          <w:spacing w:val="-5"/>
          <w:sz w:val="24"/>
          <w:szCs w:val="24"/>
        </w:rPr>
        <w:t xml:space="preserve">ser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contratado, de forma devidamente justificada.</w:t>
      </w:r>
    </w:p>
    <w:p w:rsidR="007F056E" w:rsidRPr="007E0F5B" w:rsidRDefault="007F056E" w:rsidP="007F056E">
      <w:pPr>
        <w:pStyle w:val="PargrafodaLista"/>
        <w:tabs>
          <w:tab w:val="left" w:pos="2202"/>
        </w:tabs>
        <w:spacing w:before="0" w:line="360" w:lineRule="auto"/>
        <w:ind w:left="0" w:right="358" w:firstLine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3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 xml:space="preserve"> 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O disposto no inciso II do caput deste artigo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>deverá ser comprovado no momento da aceitação, quando a modalidade de licitação for pregão, ou no momento da habilitação nas demais modalidades.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4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 xml:space="preserve"> 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Não deverá ser exigida a subcontratação quando esta for inviável, não for vantajosa para a administração pública, representar prejuízo ao conjunto ou complexo do objeto a ser contratado, devidamente justificada, ou de parcelas de maior relevância técnica, assim definidas no instrumento convocatório.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ind w:right="358"/>
        <w:rPr>
          <w:rFonts w:cs="Courier New"/>
          <w:b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t>Subseção III</w:t>
      </w:r>
    </w:p>
    <w:p w:rsidR="007F056E" w:rsidRPr="007E0F5B" w:rsidRDefault="007F056E" w:rsidP="007F056E">
      <w:pPr>
        <w:ind w:right="358"/>
        <w:rPr>
          <w:rFonts w:cs="Courier New"/>
          <w:b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t>DA AQUISIÇÃO DE BENS, SERVIÇOS E OBRAS DE NATUREZA DIVISÍVEL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Art. 14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Nas licitações para a aquisição de bens de natureza divisível, e desde que não haja prejuízo para o conjunto ou complexo do objeto, os órgãos e entidades contratantes reservarão cota de até 25% (vinte e cinco por cento) do objeto, para a contratação de microempresas e empresas de pequeno porte.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Parágrafo 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1º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 xml:space="preserve"> 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Para aplicação da cota reservada, o objeto poderá ser subdividido em itens,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sendo: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5226D8">
        <w:rPr>
          <w:rFonts w:ascii="Courier New" w:hAnsi="Courier New" w:cs="Courier New"/>
          <w:b/>
          <w:color w:val="000000" w:themeColor="text1"/>
          <w:sz w:val="24"/>
          <w:szCs w:val="24"/>
        </w:rPr>
        <w:t>I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5226D8">
        <w:rPr>
          <w:rFonts w:ascii="Courier New" w:hAnsi="Courier New" w:cs="Courier New"/>
          <w:b/>
          <w:color w:val="000000" w:themeColor="text1"/>
          <w:sz w:val="24"/>
          <w:szCs w:val="24"/>
        </w:rPr>
        <w:t>­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um como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limite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máximo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percentual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de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25%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(vinte e cinco por cento) 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para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a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cota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reservada,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5226D8">
        <w:rPr>
          <w:rFonts w:ascii="Courier New" w:hAnsi="Courier New" w:cs="Courier New"/>
          <w:color w:val="000000" w:themeColor="text1"/>
          <w:sz w:val="24"/>
          <w:szCs w:val="24"/>
        </w:rPr>
        <w:t>destinado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exclusivamente às microempresas e empresas de pequeno porte, admitindo­se a divisão da cota reservada em múltiplas cotas, objetivando­se a ampliação da competitividade, desde que a soma dos percentuais de cada cota em relação ao total do objeto não ultrapasse a 25% (vinte e cinco por cento);</w:t>
      </w:r>
    </w:p>
    <w:p w:rsidR="007F056E" w:rsidRPr="007E0F5B" w:rsidRDefault="007F056E" w:rsidP="007F056E">
      <w:pPr>
        <w:tabs>
          <w:tab w:val="left" w:pos="2026"/>
        </w:tabs>
        <w:spacing w:line="360" w:lineRule="auto"/>
        <w:ind w:right="358"/>
        <w:rPr>
          <w:rFonts w:cs="Courier New"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lastRenderedPageBreak/>
        <w:t xml:space="preserve">II </w:t>
      </w:r>
      <w:r w:rsidRPr="005226D8">
        <w:rPr>
          <w:rFonts w:cs="Courier New"/>
          <w:color w:val="000000" w:themeColor="text1"/>
        </w:rPr>
        <w:t>­</w:t>
      </w:r>
      <w:r w:rsidRPr="007E0F5B">
        <w:rPr>
          <w:rFonts w:cs="Courier New"/>
          <w:b/>
          <w:color w:val="000000" w:themeColor="text1"/>
        </w:rPr>
        <w:t xml:space="preserve"> </w:t>
      </w:r>
      <w:r w:rsidRPr="007E0F5B">
        <w:rPr>
          <w:rFonts w:cs="Courier New"/>
          <w:color w:val="000000" w:themeColor="text1"/>
        </w:rPr>
        <w:t>outro, com o percentual complementar destinado ao mercado</w:t>
      </w:r>
      <w:r>
        <w:rPr>
          <w:rFonts w:cs="Courier New"/>
          <w:color w:val="000000" w:themeColor="text1"/>
        </w:rPr>
        <w:t xml:space="preserve"> </w:t>
      </w:r>
      <w:r w:rsidRPr="007E0F5B">
        <w:rPr>
          <w:rFonts w:cs="Courier New"/>
          <w:color w:val="000000" w:themeColor="text1"/>
        </w:rPr>
        <w:t>geral.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Parágrafo 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2º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O disposto neste artigo não impede a participação da microempresa ou empresa de pequeno porte na disputa pela totalidade do objeto.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3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O instrumento convocatório deverá prever que, não havendo vencedor para a cota reservada, esta poderá ser adjudicada ao vencedor da cota principal, ou, diante de sua recusa, aos licitantes remanescentes, desde que pratiquem o preço do primeiro colocado.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4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Se a mesma empresa vencer a cota reservada e a cota principal, a contratação da cota reservada deverá ocorrer pelo preço da cota principal, caso este tenha sido menor do que o obtido na cota reservada.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5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Aplica­se o disposto no caput sempre que houver, dentro </w:t>
      </w:r>
      <w:r w:rsidRPr="00BF6D36">
        <w:rPr>
          <w:rFonts w:ascii="Courier New" w:hAnsi="Courier New" w:cs="Courier New"/>
          <w:color w:val="000000" w:themeColor="text1"/>
          <w:sz w:val="24"/>
          <w:szCs w:val="24"/>
        </w:rPr>
        <w:t xml:space="preserve">do </w:t>
      </w:r>
      <w:bookmarkStart w:id="0" w:name="_GoBack"/>
      <w:bookmarkEnd w:id="0"/>
      <w:r w:rsidRPr="00BF6D36">
        <w:rPr>
          <w:rFonts w:ascii="Courier New" w:hAnsi="Courier New" w:cs="Courier New"/>
          <w:color w:val="000000" w:themeColor="text1"/>
          <w:sz w:val="24"/>
          <w:szCs w:val="24"/>
        </w:rPr>
        <w:t>município,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 o mínimo de 3 (três) fornecedores competitivos enquadrados como microempresa ou empresa de pequeno porte e que atendam às exigências constantes do instrumento convocatório.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6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Admite­se a divisão da cota reservada em múltiplas cotas, objetivando­se a ampliação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da competitividade, desde que a soma dos percentuais de cada cota em relação ao total do objeto não ultrapasse a 25% (vinte e cinco por cento).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Parágrafo 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7º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C14EB4">
        <w:rPr>
          <w:rFonts w:ascii="Courier New" w:hAnsi="Courier New" w:cs="Courier New"/>
          <w:color w:val="000000" w:themeColor="text1"/>
          <w:sz w:val="24"/>
          <w:szCs w:val="24"/>
        </w:rPr>
        <w:t xml:space="preserve">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Nas licitações por Sistema de Registro de Preço,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>ou por entregas parceladas, o instrumento convocatório deverá prever a prioridade de aquisição dos produtos das cotas reservadas, ressalvados os casos em que a cota reservada for inadequada para atender as quantidades ou condições do pedido, justificadamente.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8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C14EB4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Não se aplica disposto neste artigo para os itens ou lotes de licitação de valor estimado até R$ 80.000,00 (oitenta mil reais), tendo em vista a aplicação da licitação exclusiva para microempresas e empresas de pequeno porte.</w:t>
      </w:r>
    </w:p>
    <w:p w:rsidR="007F056E" w:rsidRPr="007E0F5B" w:rsidRDefault="007F056E" w:rsidP="007F056E">
      <w:pPr>
        <w:pStyle w:val="Corpodetex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ind w:right="358"/>
        <w:rPr>
          <w:rFonts w:cs="Courier New"/>
          <w:b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t>SEÇÃO III</w:t>
      </w:r>
    </w:p>
    <w:p w:rsidR="007F056E" w:rsidRPr="007E0F5B" w:rsidRDefault="007F056E" w:rsidP="007F056E">
      <w:pPr>
        <w:ind w:right="358"/>
        <w:rPr>
          <w:rFonts w:cs="Courier New"/>
          <w:b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t>DA COMISSÃO GESTORA DO PROGRAMA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Art. 15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A Comissão Gestora do Programa será constituída pelos seguintes titulares dos entes e Secretarias abaixo indicados, que designarão um membro para compor esta Comissão, através de Portaria ou ato específico: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I </w:t>
      </w:r>
      <w:r w:rsidRPr="00C14EB4">
        <w:rPr>
          <w:rFonts w:ascii="Courier New" w:hAnsi="Courier New" w:cs="Courier New"/>
          <w:color w:val="000000" w:themeColor="text1"/>
          <w:sz w:val="24"/>
          <w:szCs w:val="24"/>
        </w:rPr>
        <w:t>­ ACEP – Associação Comercial e Empresarial de Porecatu;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II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Secretaria Municipal de Administração Pública; 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III </w:t>
      </w:r>
      <w:r w:rsidRPr="00C14EB4">
        <w:rPr>
          <w:rFonts w:ascii="Courier New" w:hAnsi="Courier New" w:cs="Courier New"/>
          <w:color w:val="000000" w:themeColor="text1"/>
          <w:sz w:val="24"/>
          <w:szCs w:val="24"/>
        </w:rPr>
        <w:t>­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Secretaria Municipal de Fazenda;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IV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­ Procuradoria Geral do Município;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V </w:t>
      </w:r>
      <w:r w:rsidRPr="00C14EB4">
        <w:rPr>
          <w:rFonts w:ascii="Courier New" w:hAnsi="Courier New" w:cs="Courier New"/>
          <w:color w:val="000000" w:themeColor="text1"/>
          <w:sz w:val="24"/>
          <w:szCs w:val="24"/>
        </w:rPr>
        <w:t>– Câmara Mu</w:t>
      </w:r>
      <w:r>
        <w:rPr>
          <w:rFonts w:cs="Courier New"/>
          <w:color w:val="000000" w:themeColor="text1"/>
        </w:rPr>
        <w:t>ni</w:t>
      </w:r>
      <w:r w:rsidRPr="00C14EB4">
        <w:rPr>
          <w:rFonts w:ascii="Courier New" w:hAnsi="Courier New" w:cs="Courier New"/>
          <w:color w:val="000000" w:themeColor="text1"/>
          <w:sz w:val="24"/>
          <w:szCs w:val="24"/>
        </w:rPr>
        <w:t>cipal de Porecatu;</w:t>
      </w:r>
    </w:p>
    <w:p w:rsidR="007F056E" w:rsidRPr="00413845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VI ­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Um representante do Conselho Municipal </w:t>
      </w:r>
      <w:r w:rsidRPr="00413845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de Desenvolvimento Sócio Econômico de Porecatu – CMDSE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C8026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Parágrafo 1º </w:t>
      </w:r>
      <w:r w:rsidRPr="00C80266"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C8026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C80266">
        <w:rPr>
          <w:rFonts w:ascii="Courier New" w:hAnsi="Courier New" w:cs="Courier New"/>
          <w:color w:val="000000" w:themeColor="text1"/>
          <w:sz w:val="24"/>
          <w:szCs w:val="24"/>
        </w:rPr>
        <w:t>A Comissão será presidida pelo Secretário Municipal de Administração Pública.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Parágrafo 2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º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-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A Comissão fica autorizada a solicitar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 xml:space="preserve">informações e relatórios, convocar representantes de outras diretorias, órgãos,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s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 xml:space="preserve">ecretarias e entidades da Administração Pública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M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unicipal, bem como convidar especialistas e representantes de entidades e comitês da sociedade civil, com a finalidade de subsidiar a Comissão com dados necessários à consecução dos objetivos dispostos neste Projeto.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ind w:right="358"/>
        <w:rPr>
          <w:rFonts w:cs="Courier New"/>
          <w:b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t xml:space="preserve">SEÇÃO </w:t>
      </w:r>
      <w:r>
        <w:rPr>
          <w:rFonts w:cs="Courier New"/>
          <w:b/>
          <w:color w:val="000000" w:themeColor="text1"/>
        </w:rPr>
        <w:t>I</w:t>
      </w:r>
      <w:r w:rsidRPr="007E0F5B">
        <w:rPr>
          <w:rFonts w:cs="Courier New"/>
          <w:b/>
          <w:color w:val="000000" w:themeColor="text1"/>
        </w:rPr>
        <w:t>V</w:t>
      </w:r>
    </w:p>
    <w:p w:rsidR="007F056E" w:rsidRPr="007E0F5B" w:rsidRDefault="007F056E" w:rsidP="007F056E">
      <w:pPr>
        <w:ind w:right="358"/>
        <w:rPr>
          <w:rFonts w:cs="Courier New"/>
          <w:b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t>DAS DISPOSIÇÕES GERAIS</w:t>
      </w: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Pr="007E0F5B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color w:val="000000" w:themeColor="text1"/>
          <w:sz w:val="24"/>
          <w:szCs w:val="24"/>
        </w:rPr>
      </w:pP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>Art. 1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6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-</w:t>
      </w:r>
      <w:r w:rsidRPr="007E0F5B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7E0F5B">
        <w:rPr>
          <w:rFonts w:ascii="Courier New" w:hAnsi="Courier New" w:cs="Courier New"/>
          <w:color w:val="000000" w:themeColor="text1"/>
          <w:sz w:val="24"/>
          <w:szCs w:val="24"/>
        </w:rPr>
        <w:t>A Comissão Gestora do Programa deverá apresentar ao Chefe do Poder Executivo um relatório detalhado, contendo os estudos realizados, com indicadores dos principais problemas encontrados e um plano de ação, contendo as ações prioritárias que poderão ser adotadas pelo Município a curto, médio e longo prazo.</w:t>
      </w:r>
    </w:p>
    <w:p w:rsidR="007F056E" w:rsidRDefault="007F056E" w:rsidP="007F056E">
      <w:pPr>
        <w:pStyle w:val="Corpodetexto"/>
        <w:spacing w:line="360" w:lineRule="auto"/>
        <w:ind w:left="0" w:right="358"/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7F056E" w:rsidRDefault="007F056E" w:rsidP="007F056E">
      <w:pPr>
        <w:tabs>
          <w:tab w:val="left" w:pos="8647"/>
        </w:tabs>
        <w:ind w:right="358"/>
        <w:rPr>
          <w:rFonts w:cs="Courier New"/>
          <w:color w:val="000000" w:themeColor="text1"/>
        </w:rPr>
      </w:pPr>
      <w:r w:rsidRPr="007E0F5B">
        <w:rPr>
          <w:rFonts w:cs="Courier New"/>
          <w:b/>
          <w:color w:val="000000" w:themeColor="text1"/>
        </w:rPr>
        <w:t>Art. 1</w:t>
      </w:r>
      <w:r>
        <w:rPr>
          <w:rFonts w:cs="Courier New"/>
          <w:b/>
          <w:color w:val="000000" w:themeColor="text1"/>
        </w:rPr>
        <w:t xml:space="preserve">7 </w:t>
      </w:r>
      <w:r>
        <w:rPr>
          <w:rFonts w:cs="Courier New"/>
          <w:color w:val="000000" w:themeColor="text1"/>
        </w:rPr>
        <w:t>-</w:t>
      </w:r>
      <w:r w:rsidRPr="007E0F5B">
        <w:rPr>
          <w:rFonts w:cs="Courier New"/>
          <w:b/>
          <w:color w:val="000000" w:themeColor="text1"/>
        </w:rPr>
        <w:t xml:space="preserve"> </w:t>
      </w:r>
      <w:r w:rsidRPr="007E0F5B">
        <w:rPr>
          <w:rFonts w:cs="Courier New"/>
          <w:color w:val="000000" w:themeColor="text1"/>
        </w:rPr>
        <w:t>Este Projeto entra em vigor na data de sua publicação, revogada as  disposições em contrário.</w:t>
      </w:r>
    </w:p>
    <w:p w:rsidR="007F056E" w:rsidRPr="007E0F5B" w:rsidRDefault="007F056E" w:rsidP="007F056E">
      <w:pPr>
        <w:tabs>
          <w:tab w:val="left" w:pos="8931"/>
        </w:tabs>
        <w:spacing w:line="360" w:lineRule="auto"/>
        <w:ind w:right="358"/>
        <w:rPr>
          <w:rFonts w:cs="Courier New"/>
          <w:color w:val="000000" w:themeColor="text1"/>
        </w:rPr>
      </w:pPr>
    </w:p>
    <w:p w:rsidR="007F056E" w:rsidRDefault="007F056E" w:rsidP="007F056E">
      <w:pPr>
        <w:tabs>
          <w:tab w:val="left" w:pos="8931"/>
        </w:tabs>
        <w:ind w:right="358"/>
        <w:rPr>
          <w:rFonts w:cs="Courier New"/>
          <w:color w:val="000000" w:themeColor="text1"/>
        </w:rPr>
      </w:pPr>
      <w:r w:rsidRPr="00463F2A">
        <w:rPr>
          <w:rFonts w:cs="Courier New"/>
          <w:color w:val="000000" w:themeColor="text1"/>
        </w:rPr>
        <w:t>EDIFÍCIO DA CÂMARA MUNICIPAL DE PORECATU, Estado do Paraná, a</w:t>
      </w:r>
      <w:r>
        <w:rPr>
          <w:rFonts w:cs="Courier New"/>
          <w:color w:val="000000" w:themeColor="text1"/>
        </w:rPr>
        <w:t>os seis</w:t>
      </w:r>
      <w:r w:rsidRPr="00463F2A">
        <w:rPr>
          <w:rFonts w:cs="Courier New"/>
          <w:color w:val="000000" w:themeColor="text1"/>
        </w:rPr>
        <w:t xml:space="preserve"> dia</w:t>
      </w:r>
      <w:r>
        <w:rPr>
          <w:rFonts w:cs="Courier New"/>
          <w:color w:val="000000" w:themeColor="text1"/>
        </w:rPr>
        <w:t>s</w:t>
      </w:r>
      <w:r w:rsidRPr="00463F2A">
        <w:rPr>
          <w:rFonts w:cs="Courier New"/>
          <w:color w:val="000000" w:themeColor="text1"/>
        </w:rPr>
        <w:t xml:space="preserve"> do mês de </w:t>
      </w:r>
      <w:r>
        <w:rPr>
          <w:rFonts w:cs="Courier New"/>
          <w:color w:val="000000" w:themeColor="text1"/>
        </w:rPr>
        <w:t>maio</w:t>
      </w:r>
      <w:r w:rsidRPr="00463F2A">
        <w:rPr>
          <w:rFonts w:cs="Courier New"/>
          <w:color w:val="000000" w:themeColor="text1"/>
        </w:rPr>
        <w:t xml:space="preserve"> do ano de 20</w:t>
      </w:r>
      <w:r>
        <w:rPr>
          <w:rFonts w:cs="Courier New"/>
          <w:color w:val="000000" w:themeColor="text1"/>
        </w:rPr>
        <w:t>21 (06/05/2021)</w:t>
      </w:r>
      <w:r w:rsidRPr="00463F2A">
        <w:rPr>
          <w:rFonts w:cs="Courier New"/>
          <w:color w:val="000000" w:themeColor="text1"/>
        </w:rPr>
        <w:t>.</w:t>
      </w:r>
      <w:r w:rsidRPr="00463F2A">
        <w:rPr>
          <w:rFonts w:cs="Courier New"/>
          <w:color w:val="000000" w:themeColor="text1"/>
        </w:rPr>
        <w:cr/>
      </w:r>
    </w:p>
    <w:p w:rsidR="007F056E" w:rsidRDefault="007F056E" w:rsidP="007F056E">
      <w:pPr>
        <w:tabs>
          <w:tab w:val="left" w:pos="8931"/>
        </w:tabs>
        <w:ind w:right="358"/>
        <w:jc w:val="center"/>
        <w:rPr>
          <w:rFonts w:cs="Courier New"/>
          <w:color w:val="000000" w:themeColor="text1"/>
        </w:rPr>
      </w:pPr>
    </w:p>
    <w:p w:rsidR="007F056E" w:rsidRPr="007E0F5B" w:rsidRDefault="007F056E" w:rsidP="007F056E">
      <w:pPr>
        <w:tabs>
          <w:tab w:val="left" w:pos="8931"/>
        </w:tabs>
        <w:ind w:right="358"/>
        <w:jc w:val="center"/>
        <w:rPr>
          <w:rFonts w:cs="Courier New"/>
          <w:color w:val="000000" w:themeColor="text1"/>
        </w:rPr>
      </w:pPr>
    </w:p>
    <w:p w:rsidR="007F056E" w:rsidRPr="007E0F5B" w:rsidRDefault="007F056E" w:rsidP="007F056E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  <w:r w:rsidRPr="007E0F5B">
        <w:rPr>
          <w:rFonts w:cs="Courier New"/>
          <w:color w:val="000000" w:themeColor="text1"/>
        </w:rPr>
        <w:t>SERGIO LUIZ LOPES DA SILVA</w:t>
      </w:r>
    </w:p>
    <w:p w:rsidR="007F056E" w:rsidRPr="007E0F5B" w:rsidRDefault="007F056E" w:rsidP="007F056E">
      <w:pPr>
        <w:tabs>
          <w:tab w:val="left" w:pos="8364"/>
        </w:tabs>
        <w:ind w:right="358"/>
        <w:jc w:val="center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VICE-PRESIDENTE</w:t>
      </w:r>
    </w:p>
    <w:p w:rsidR="007F056E" w:rsidRPr="007E0F5B" w:rsidRDefault="007F056E" w:rsidP="007F056E">
      <w:pPr>
        <w:ind w:right="358"/>
        <w:rPr>
          <w:rFonts w:cs="Courier New"/>
          <w:color w:val="000000" w:themeColor="text1"/>
        </w:rPr>
      </w:pPr>
    </w:p>
    <w:p w:rsidR="007F056E" w:rsidRDefault="007F056E" w:rsidP="007F056E">
      <w:pPr>
        <w:spacing w:line="360" w:lineRule="auto"/>
        <w:ind w:right="358"/>
        <w:rPr>
          <w:rFonts w:cs="Courier New"/>
          <w:color w:val="000000" w:themeColor="text1"/>
        </w:rPr>
      </w:pPr>
    </w:p>
    <w:p w:rsidR="007F056E" w:rsidRPr="00313D26" w:rsidRDefault="007F056E" w:rsidP="007F056E">
      <w:pPr>
        <w:spacing w:line="360" w:lineRule="auto"/>
        <w:ind w:right="358"/>
        <w:rPr>
          <w:rFonts w:cs="Courier New"/>
        </w:rPr>
      </w:pPr>
    </w:p>
    <w:p w:rsidR="00C1455B" w:rsidRDefault="00C1455B"/>
    <w:sectPr w:rsidR="00C1455B" w:rsidSect="0014795C">
      <w:headerReference w:type="default" r:id="rId5"/>
      <w:footerReference w:type="default" r:id="rId6"/>
      <w:pgSz w:w="11906" w:h="16838"/>
      <w:pgMar w:top="1701" w:right="748" w:bottom="992" w:left="1701" w:header="709" w:footer="3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2245"/>
      <w:docPartObj>
        <w:docPartGallery w:val="Page Numbers (Bottom of Page)"/>
        <w:docPartUnique/>
      </w:docPartObj>
    </w:sdtPr>
    <w:sdtEndPr/>
    <w:sdtContent>
      <w:p w:rsidR="0014795C" w:rsidRDefault="007F056E">
        <w:pPr>
          <w:pStyle w:val="Rodap"/>
          <w:jc w:val="right"/>
        </w:pPr>
      </w:p>
      <w:tbl>
        <w:tblPr>
          <w:tblStyle w:val="Tabelacomgrade"/>
          <w:tblW w:w="9000" w:type="dxa"/>
          <w:tblInd w:w="108" w:type="dxa"/>
          <w:tblLook w:val="01E0"/>
        </w:tblPr>
        <w:tblGrid>
          <w:gridCol w:w="9000"/>
        </w:tblGrid>
        <w:tr w:rsidR="0014795C" w:rsidRPr="00C10313" w:rsidTr="001F1870">
          <w:tc>
            <w:tcPr>
              <w:tcW w:w="9000" w:type="dxa"/>
            </w:tcPr>
            <w:p w:rsidR="0014795C" w:rsidRPr="004A7C52" w:rsidRDefault="007F056E" w:rsidP="001F1870">
              <w:pPr>
                <w:pStyle w:val="Rodap"/>
                <w:tabs>
                  <w:tab w:val="clear" w:pos="4252"/>
                  <w:tab w:val="clear" w:pos="8504"/>
                </w:tabs>
                <w:jc w:val="center"/>
                <w:rPr>
                  <w:rFonts w:ascii="Copperplate Gothic Light" w:hAnsi="Copperplate Gothic Light"/>
                  <w:b/>
                  <w:sz w:val="15"/>
                  <w:szCs w:val="15"/>
                </w:rPr>
              </w:pPr>
              <w:r w:rsidRPr="004A7C52">
                <w:rPr>
                  <w:rFonts w:ascii="Copperplate Gothic Light" w:hAnsi="Copperplate Gothic Light"/>
                  <w:b/>
                  <w:sz w:val="15"/>
                  <w:szCs w:val="15"/>
                </w:rPr>
                <w:t xml:space="preserve">Rua </w:t>
              </w:r>
              <w:r>
                <w:rPr>
                  <w:rFonts w:ascii="Copperplate Gothic Light" w:hAnsi="Copperplate Gothic Light"/>
                  <w:b/>
                  <w:sz w:val="15"/>
                  <w:szCs w:val="15"/>
                </w:rPr>
                <w:t>Sidney Ninno</w:t>
              </w:r>
              <w:r w:rsidRPr="004A7C52">
                <w:rPr>
                  <w:rFonts w:ascii="Copperplate Gothic Light" w:hAnsi="Copperplate Gothic Light"/>
                  <w:b/>
                  <w:sz w:val="15"/>
                  <w:szCs w:val="15"/>
                </w:rPr>
                <w:t>, 44</w:t>
              </w:r>
              <w:r>
                <w:rPr>
                  <w:rFonts w:ascii="Copperplate Gothic Light" w:hAnsi="Copperplate Gothic Light"/>
                  <w:b/>
                  <w:sz w:val="15"/>
                  <w:szCs w:val="15"/>
                </w:rPr>
                <w:t>0</w:t>
              </w:r>
              <w:r w:rsidRPr="004A7C52">
                <w:rPr>
                  <w:rFonts w:ascii="Copperplate Gothic Light" w:hAnsi="Copperplate Gothic Light"/>
                  <w:b/>
                  <w:sz w:val="15"/>
                  <w:szCs w:val="15"/>
                </w:rPr>
                <w:t xml:space="preserve"> – Caixa Postal 87 - CEP: 86160-000 – Porecatu/Paraná - (43) 3623.1309</w:t>
              </w:r>
            </w:p>
          </w:tc>
        </w:tr>
      </w:tbl>
      <w:p w:rsidR="006E2C10" w:rsidRDefault="007F056E">
        <w:pPr>
          <w:pStyle w:val="Rodap"/>
          <w:jc w:val="right"/>
        </w:pPr>
      </w:p>
    </w:sdtContent>
  </w:sdt>
  <w:p w:rsidR="006E2C10" w:rsidRPr="00D83D51" w:rsidRDefault="007F056E" w:rsidP="006E2C1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10" w:rsidRDefault="007F056E" w:rsidP="006E2C10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86734203" r:id="rId2"/>
      </w:object>
    </w:r>
  </w:p>
  <w:p w:rsidR="006E2C10" w:rsidRDefault="007F056E" w:rsidP="006E2C10">
    <w:pPr>
      <w:pStyle w:val="Cabealho"/>
      <w:ind w:left="2520"/>
      <w:rPr>
        <w:b/>
      </w:rPr>
    </w:pPr>
  </w:p>
  <w:p w:rsidR="006E2C10" w:rsidRDefault="007F056E" w:rsidP="006E2C1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E2C10" w:rsidRDefault="007F056E" w:rsidP="006E2C1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E2C10" w:rsidRDefault="007F056E" w:rsidP="006E2C1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E2C10" w:rsidRDefault="007F056E" w:rsidP="006E2C1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E2C10" w:rsidRDefault="007F056E" w:rsidP="006E2C10">
    <w:pPr>
      <w:pStyle w:val="Cabealho"/>
      <w:rPr>
        <w:rFonts w:ascii="Arial" w:hAnsi="Arial" w:cs="Arial"/>
        <w:b/>
        <w:sz w:val="28"/>
        <w:szCs w:val="28"/>
      </w:rPr>
    </w:pPr>
  </w:p>
  <w:p w:rsidR="006E2C10" w:rsidRPr="00F11D7E" w:rsidRDefault="007F056E" w:rsidP="006E2C10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6E2C10" w:rsidRDefault="007F05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614E"/>
    <w:multiLevelType w:val="hybridMultilevel"/>
    <w:tmpl w:val="71C04CE8"/>
    <w:lvl w:ilvl="0" w:tplc="AD8C8284">
      <w:start w:val="1"/>
      <w:numFmt w:val="upperRoman"/>
      <w:lvlText w:val="%1"/>
      <w:lvlJc w:val="left"/>
      <w:pPr>
        <w:ind w:left="1924" w:hanging="1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pt-PT" w:eastAsia="pt-PT" w:bidi="pt-PT"/>
      </w:rPr>
    </w:lvl>
    <w:lvl w:ilvl="1" w:tplc="8A80EA48">
      <w:numFmt w:val="bullet"/>
      <w:lvlText w:val="•"/>
      <w:lvlJc w:val="left"/>
      <w:pPr>
        <w:ind w:left="2800" w:hanging="167"/>
      </w:pPr>
      <w:rPr>
        <w:rFonts w:hint="default"/>
        <w:lang w:val="pt-PT" w:eastAsia="pt-PT" w:bidi="pt-PT"/>
      </w:rPr>
    </w:lvl>
    <w:lvl w:ilvl="2" w:tplc="70DE8C96">
      <w:numFmt w:val="bullet"/>
      <w:lvlText w:val="•"/>
      <w:lvlJc w:val="left"/>
      <w:pPr>
        <w:ind w:left="3680" w:hanging="167"/>
      </w:pPr>
      <w:rPr>
        <w:rFonts w:hint="default"/>
        <w:lang w:val="pt-PT" w:eastAsia="pt-PT" w:bidi="pt-PT"/>
      </w:rPr>
    </w:lvl>
    <w:lvl w:ilvl="3" w:tplc="DAE29006">
      <w:numFmt w:val="bullet"/>
      <w:lvlText w:val="•"/>
      <w:lvlJc w:val="left"/>
      <w:pPr>
        <w:ind w:left="4560" w:hanging="167"/>
      </w:pPr>
      <w:rPr>
        <w:rFonts w:hint="default"/>
        <w:lang w:val="pt-PT" w:eastAsia="pt-PT" w:bidi="pt-PT"/>
      </w:rPr>
    </w:lvl>
    <w:lvl w:ilvl="4" w:tplc="C2D28742">
      <w:numFmt w:val="bullet"/>
      <w:lvlText w:val="•"/>
      <w:lvlJc w:val="left"/>
      <w:pPr>
        <w:ind w:left="5440" w:hanging="167"/>
      </w:pPr>
      <w:rPr>
        <w:rFonts w:hint="default"/>
        <w:lang w:val="pt-PT" w:eastAsia="pt-PT" w:bidi="pt-PT"/>
      </w:rPr>
    </w:lvl>
    <w:lvl w:ilvl="5" w:tplc="554EE57E">
      <w:numFmt w:val="bullet"/>
      <w:lvlText w:val="•"/>
      <w:lvlJc w:val="left"/>
      <w:pPr>
        <w:ind w:left="6320" w:hanging="167"/>
      </w:pPr>
      <w:rPr>
        <w:rFonts w:hint="default"/>
        <w:lang w:val="pt-PT" w:eastAsia="pt-PT" w:bidi="pt-PT"/>
      </w:rPr>
    </w:lvl>
    <w:lvl w:ilvl="6" w:tplc="9E9C5564">
      <w:numFmt w:val="bullet"/>
      <w:lvlText w:val="•"/>
      <w:lvlJc w:val="left"/>
      <w:pPr>
        <w:ind w:left="7200" w:hanging="167"/>
      </w:pPr>
      <w:rPr>
        <w:rFonts w:hint="default"/>
        <w:lang w:val="pt-PT" w:eastAsia="pt-PT" w:bidi="pt-PT"/>
      </w:rPr>
    </w:lvl>
    <w:lvl w:ilvl="7" w:tplc="63C03360">
      <w:numFmt w:val="bullet"/>
      <w:lvlText w:val="•"/>
      <w:lvlJc w:val="left"/>
      <w:pPr>
        <w:ind w:left="8080" w:hanging="167"/>
      </w:pPr>
      <w:rPr>
        <w:rFonts w:hint="default"/>
        <w:lang w:val="pt-PT" w:eastAsia="pt-PT" w:bidi="pt-PT"/>
      </w:rPr>
    </w:lvl>
    <w:lvl w:ilvl="8" w:tplc="5F886274">
      <w:numFmt w:val="bullet"/>
      <w:lvlText w:val="•"/>
      <w:lvlJc w:val="left"/>
      <w:pPr>
        <w:ind w:left="8960" w:hanging="16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F056E"/>
    <w:rsid w:val="004F0FC4"/>
    <w:rsid w:val="005E7E86"/>
    <w:rsid w:val="007F056E"/>
    <w:rsid w:val="00852A7F"/>
    <w:rsid w:val="009C712B"/>
    <w:rsid w:val="00A7038A"/>
    <w:rsid w:val="00B228F3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6E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056E"/>
    <w:pPr>
      <w:keepNext/>
      <w:autoSpaceDE w:val="0"/>
      <w:autoSpaceDN w:val="0"/>
      <w:adjustRightInd w:val="0"/>
      <w:ind w:left="3960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056E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7F05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056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F05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056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F056E"/>
    <w:pPr>
      <w:widowControl w:val="0"/>
      <w:autoSpaceDE w:val="0"/>
      <w:autoSpaceDN w:val="0"/>
      <w:ind w:left="340"/>
    </w:pPr>
    <w:rPr>
      <w:rFonts w:ascii="Times New Roman" w:hAnsi="Times New Roman"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F056E"/>
    <w:rPr>
      <w:rFonts w:ascii="Times New Roman" w:eastAsia="Times New Roman" w:hAnsi="Times New Roman" w:cs="Times New Roman"/>
      <w:sz w:val="26"/>
      <w:szCs w:val="26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7F056E"/>
    <w:pPr>
      <w:widowControl w:val="0"/>
      <w:autoSpaceDE w:val="0"/>
      <w:autoSpaceDN w:val="0"/>
      <w:spacing w:before="243"/>
      <w:ind w:left="340" w:right="339" w:firstLine="1417"/>
    </w:pPr>
    <w:rPr>
      <w:rFonts w:ascii="Times New Roman" w:hAnsi="Times New Roman"/>
      <w:sz w:val="22"/>
      <w:szCs w:val="22"/>
      <w:lang w:val="pt-PT" w:eastAsia="pt-PT" w:bidi="pt-PT"/>
    </w:rPr>
  </w:style>
  <w:style w:type="table" w:styleId="Tabelacomgrade">
    <w:name w:val="Table Grid"/>
    <w:basedOn w:val="Tabelanormal"/>
    <w:rsid w:val="007F05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2837</Words>
  <Characters>15325</Characters>
  <Application>Microsoft Office Word</Application>
  <DocSecurity>0</DocSecurity>
  <Lines>127</Lines>
  <Paragraphs>36</Paragraphs>
  <ScaleCrop>false</ScaleCrop>
  <Company/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2021-07-02T15:29:00Z</dcterms:created>
  <dcterms:modified xsi:type="dcterms:W3CDTF">2021-07-02T15:30:00Z</dcterms:modified>
</cp:coreProperties>
</file>